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B064" w14:textId="41B01C73" w:rsidR="00E66B56" w:rsidRPr="00E66B56" w:rsidRDefault="00E66B56" w:rsidP="00E66B56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1C403A33" wp14:editId="0BA4CF74">
            <wp:extent cx="4863292" cy="1621277"/>
            <wp:effectExtent l="0" t="0" r="127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581" cy="162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75259" w14:textId="77777777" w:rsidR="00E66B56" w:rsidRPr="00E66B56" w:rsidRDefault="00E66B56" w:rsidP="00E66B56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98155A5" w14:textId="61BF7694" w:rsidR="00E66B56" w:rsidRPr="00F73E08" w:rsidRDefault="00E66B56" w:rsidP="00E66B56">
      <w:pPr>
        <w:spacing w:line="276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F73E08">
        <w:rPr>
          <w:rFonts w:asciiTheme="majorHAnsi" w:hAnsiTheme="majorHAnsi" w:cstheme="majorHAnsi"/>
          <w:b/>
          <w:bCs/>
          <w:sz w:val="28"/>
          <w:szCs w:val="28"/>
        </w:rPr>
        <w:t>Submission</w:t>
      </w:r>
      <w:r w:rsidR="00A34BB4" w:rsidRPr="00F73E08">
        <w:rPr>
          <w:rFonts w:asciiTheme="majorHAnsi" w:hAnsiTheme="majorHAnsi" w:cstheme="majorHAnsi"/>
          <w:b/>
          <w:bCs/>
          <w:sz w:val="28"/>
          <w:szCs w:val="28"/>
        </w:rPr>
        <w:t xml:space="preserve"> to EBRD </w:t>
      </w:r>
      <w:r w:rsidRPr="00F73E08">
        <w:rPr>
          <w:rFonts w:asciiTheme="majorHAnsi" w:hAnsiTheme="majorHAnsi" w:cstheme="majorHAnsi"/>
          <w:b/>
          <w:bCs/>
          <w:sz w:val="28"/>
          <w:szCs w:val="28"/>
        </w:rPr>
        <w:t xml:space="preserve">consultation on its </w:t>
      </w:r>
      <w:r w:rsidR="00A34BB4" w:rsidRPr="00F73E08">
        <w:rPr>
          <w:rFonts w:asciiTheme="majorHAnsi" w:hAnsiTheme="majorHAnsi" w:cstheme="majorHAnsi"/>
          <w:b/>
          <w:bCs/>
          <w:sz w:val="28"/>
          <w:szCs w:val="28"/>
        </w:rPr>
        <w:t xml:space="preserve">Paris alignment </w:t>
      </w:r>
      <w:r w:rsidRPr="00F73E08">
        <w:rPr>
          <w:rFonts w:asciiTheme="majorHAnsi" w:hAnsiTheme="majorHAnsi" w:cstheme="majorHAnsi"/>
          <w:b/>
          <w:bCs/>
          <w:sz w:val="28"/>
          <w:szCs w:val="28"/>
        </w:rPr>
        <w:t>methodology for indirect finance</w:t>
      </w:r>
    </w:p>
    <w:p w14:paraId="4E30D348" w14:textId="5B61300C" w:rsidR="00E66B56" w:rsidRDefault="00E66B56" w:rsidP="00E66B56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February 2022</w:t>
      </w:r>
    </w:p>
    <w:p w14:paraId="6ACB9FEB" w14:textId="77777777" w:rsidR="00D228D3" w:rsidRPr="00E66B56" w:rsidRDefault="00D228D3" w:rsidP="00E66B56">
      <w:pPr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574D6E4" w14:textId="77777777" w:rsidR="00E66B56" w:rsidRPr="00E66B56" w:rsidRDefault="00E66B56" w:rsidP="00E66B56">
      <w:pPr>
        <w:spacing w:line="276" w:lineRule="auto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</w:pPr>
      <w:r w:rsidRPr="00E66B56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Overall comments</w:t>
      </w:r>
    </w:p>
    <w:p w14:paraId="68A81FC9" w14:textId="53054E92" w:rsidR="00A34BB4" w:rsidRDefault="00E66B56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="00A34BB4" w:rsidRPr="00E66B56">
        <w:rPr>
          <w:rFonts w:asciiTheme="majorHAnsi" w:hAnsiTheme="majorHAnsi" w:cstheme="majorHAnsi"/>
          <w:sz w:val="22"/>
          <w:szCs w:val="22"/>
        </w:rPr>
        <w:t>E</w:t>
      </w:r>
      <w:r w:rsidR="00577C5D">
        <w:rPr>
          <w:rFonts w:asciiTheme="majorHAnsi" w:hAnsiTheme="majorHAnsi" w:cstheme="majorHAnsi"/>
          <w:sz w:val="22"/>
          <w:szCs w:val="22"/>
        </w:rPr>
        <w:t xml:space="preserve">uropean </w:t>
      </w:r>
      <w:r w:rsidR="00A34BB4" w:rsidRPr="00E66B56">
        <w:rPr>
          <w:rFonts w:asciiTheme="majorHAnsi" w:hAnsiTheme="majorHAnsi" w:cstheme="majorHAnsi"/>
          <w:sz w:val="22"/>
          <w:szCs w:val="22"/>
        </w:rPr>
        <w:t>B</w:t>
      </w:r>
      <w:r w:rsidR="00577C5D">
        <w:rPr>
          <w:rFonts w:asciiTheme="majorHAnsi" w:hAnsiTheme="majorHAnsi" w:cstheme="majorHAnsi"/>
          <w:sz w:val="22"/>
          <w:szCs w:val="22"/>
        </w:rPr>
        <w:t xml:space="preserve">ank for </w:t>
      </w:r>
      <w:r w:rsidR="00A34BB4" w:rsidRPr="00E66B56">
        <w:rPr>
          <w:rFonts w:asciiTheme="majorHAnsi" w:hAnsiTheme="majorHAnsi" w:cstheme="majorHAnsi"/>
          <w:sz w:val="22"/>
          <w:szCs w:val="22"/>
        </w:rPr>
        <w:t>R</w:t>
      </w:r>
      <w:r w:rsidR="00577C5D">
        <w:rPr>
          <w:rFonts w:asciiTheme="majorHAnsi" w:hAnsiTheme="majorHAnsi" w:cstheme="majorHAnsi"/>
          <w:sz w:val="22"/>
          <w:szCs w:val="22"/>
        </w:rPr>
        <w:t xml:space="preserve">econstruction and </w:t>
      </w:r>
      <w:r w:rsidR="00A34BB4" w:rsidRPr="00E66B56">
        <w:rPr>
          <w:rFonts w:asciiTheme="majorHAnsi" w:hAnsiTheme="majorHAnsi" w:cstheme="majorHAnsi"/>
          <w:sz w:val="22"/>
          <w:szCs w:val="22"/>
        </w:rPr>
        <w:t>D</w:t>
      </w:r>
      <w:r w:rsidR="00577C5D">
        <w:rPr>
          <w:rFonts w:asciiTheme="majorHAnsi" w:hAnsiTheme="majorHAnsi" w:cstheme="majorHAnsi"/>
          <w:sz w:val="22"/>
          <w:szCs w:val="22"/>
        </w:rPr>
        <w:t>evelopment (EBRD)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is</w:t>
      </w:r>
      <w:r w:rsidR="00D42A4A">
        <w:rPr>
          <w:rFonts w:asciiTheme="majorHAnsi" w:hAnsiTheme="majorHAnsi" w:cstheme="majorHAnsi"/>
          <w:sz w:val="22"/>
          <w:szCs w:val="22"/>
        </w:rPr>
        <w:t xml:space="preserve"> the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first </w:t>
      </w:r>
      <w:r>
        <w:rPr>
          <w:rFonts w:asciiTheme="majorHAnsi" w:hAnsiTheme="majorHAnsi" w:cstheme="majorHAnsi"/>
          <w:sz w:val="22"/>
          <w:szCs w:val="22"/>
        </w:rPr>
        <w:t xml:space="preserve">multilateral development bank (MDB) 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to move to propose a Paris alignment methodology </w:t>
      </w:r>
      <w:r>
        <w:rPr>
          <w:rFonts w:asciiTheme="majorHAnsi" w:hAnsiTheme="majorHAnsi" w:cstheme="majorHAnsi"/>
          <w:sz w:val="22"/>
          <w:szCs w:val="22"/>
        </w:rPr>
        <w:t>for indirect finance. The EBRD is to be commended for tackling this difficult issue.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At the same time, this makes it </w:t>
      </w:r>
      <w:proofErr w:type="gramStart"/>
      <w:r>
        <w:rPr>
          <w:rFonts w:asciiTheme="majorHAnsi" w:hAnsiTheme="majorHAnsi" w:cstheme="majorHAnsi"/>
          <w:sz w:val="22"/>
          <w:szCs w:val="22"/>
        </w:rPr>
        <w:t>all the more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important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to get this right as it </w:t>
      </w:r>
      <w:r>
        <w:rPr>
          <w:rFonts w:asciiTheme="majorHAnsi" w:hAnsiTheme="majorHAnsi" w:cstheme="majorHAnsi"/>
          <w:sz w:val="22"/>
          <w:szCs w:val="22"/>
        </w:rPr>
        <w:t>is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the first</w:t>
      </w:r>
      <w:r w:rsidR="00D42A4A">
        <w:rPr>
          <w:rFonts w:asciiTheme="majorHAnsi" w:hAnsiTheme="majorHAnsi" w:cstheme="majorHAnsi"/>
          <w:sz w:val="22"/>
          <w:szCs w:val="22"/>
        </w:rPr>
        <w:t xml:space="preserve"> and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</w:t>
      </w:r>
      <w:r w:rsidR="007D1A51">
        <w:rPr>
          <w:rFonts w:asciiTheme="majorHAnsi" w:hAnsiTheme="majorHAnsi" w:cstheme="majorHAnsi"/>
          <w:sz w:val="22"/>
          <w:szCs w:val="22"/>
        </w:rPr>
        <w:t xml:space="preserve">so 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will set </w:t>
      </w:r>
      <w:r w:rsidR="00577C5D">
        <w:rPr>
          <w:rFonts w:asciiTheme="majorHAnsi" w:hAnsiTheme="majorHAnsi" w:cstheme="majorHAnsi"/>
          <w:sz w:val="22"/>
          <w:szCs w:val="22"/>
        </w:rPr>
        <w:t xml:space="preserve">the </w:t>
      </w:r>
      <w:r w:rsidR="00A34BB4" w:rsidRPr="00E66B56">
        <w:rPr>
          <w:rFonts w:asciiTheme="majorHAnsi" w:hAnsiTheme="majorHAnsi" w:cstheme="majorHAnsi"/>
          <w:sz w:val="22"/>
          <w:szCs w:val="22"/>
        </w:rPr>
        <w:t>precedent for other</w:t>
      </w:r>
      <w:r w:rsidR="00D42A4A">
        <w:rPr>
          <w:rFonts w:asciiTheme="majorHAnsi" w:hAnsiTheme="majorHAnsi" w:cstheme="majorHAnsi"/>
          <w:sz w:val="22"/>
          <w:szCs w:val="22"/>
        </w:rPr>
        <w:t xml:space="preserve"> development banks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Therefore</w:t>
      </w:r>
      <w:r w:rsidR="00F5794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the methodology m</w:t>
      </w:r>
      <w:r w:rsidR="00A34BB4" w:rsidRPr="00E66B56">
        <w:rPr>
          <w:rFonts w:asciiTheme="majorHAnsi" w:hAnsiTheme="majorHAnsi" w:cstheme="majorHAnsi"/>
          <w:sz w:val="22"/>
          <w:szCs w:val="22"/>
        </w:rPr>
        <w:t>ust be ambitious</w:t>
      </w:r>
      <w:r>
        <w:rPr>
          <w:rFonts w:asciiTheme="majorHAnsi" w:hAnsiTheme="majorHAnsi" w:cstheme="majorHAnsi"/>
          <w:sz w:val="22"/>
          <w:szCs w:val="22"/>
        </w:rPr>
        <w:t xml:space="preserve"> and set a high bar</w:t>
      </w:r>
      <w:r w:rsidR="00577C5D">
        <w:rPr>
          <w:rFonts w:asciiTheme="majorHAnsi" w:hAnsiTheme="majorHAnsi" w:cstheme="majorHAnsi"/>
          <w:sz w:val="22"/>
          <w:szCs w:val="22"/>
        </w:rPr>
        <w:t xml:space="preserve"> to prompt a race to the top in addressing the role of public finance in tackling the climate crisis</w:t>
      </w:r>
      <w:r w:rsidR="00A34BB4" w:rsidRPr="00E66B56">
        <w:rPr>
          <w:rFonts w:asciiTheme="majorHAnsi" w:hAnsiTheme="majorHAnsi" w:cstheme="majorHAnsi"/>
          <w:sz w:val="22"/>
          <w:szCs w:val="22"/>
        </w:rPr>
        <w:t>.</w:t>
      </w:r>
    </w:p>
    <w:p w14:paraId="0B61D577" w14:textId="77777777" w:rsidR="00577C5D" w:rsidRPr="00E66B56" w:rsidRDefault="00577C5D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8C8F781" w14:textId="2FAD7507" w:rsidR="00577C5D" w:rsidRDefault="00577C5D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It is welcome that the EBRD will review the methodology every year. This will be an opportunity to fine tune the methodology and ensure it responds to the latest demands and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increase</w:t>
      </w:r>
      <w:r>
        <w:rPr>
          <w:rFonts w:asciiTheme="majorHAnsi" w:hAnsiTheme="majorHAnsi" w:cstheme="majorHAnsi"/>
          <w:sz w:val="22"/>
          <w:szCs w:val="22"/>
        </w:rPr>
        <w:t>s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ambition</w:t>
      </w:r>
      <w:r>
        <w:rPr>
          <w:rFonts w:asciiTheme="majorHAnsi" w:hAnsiTheme="majorHAnsi" w:cstheme="majorHAnsi"/>
          <w:sz w:val="22"/>
          <w:szCs w:val="22"/>
        </w:rPr>
        <w:t>. It is vital that such reviews are based on outcomes: where the money invested by EBRD through financial intermediary clients has ended up and what its climate impact has been. We also encourage EBRD to ensure such reviews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be open to public consultation and input, to allow scrutiny and ensure EBRD is accountable to its commitments</w:t>
      </w:r>
      <w:r w:rsidR="0037499C">
        <w:rPr>
          <w:rFonts w:asciiTheme="majorHAnsi" w:hAnsiTheme="majorHAnsi" w:cstheme="majorHAnsi"/>
          <w:sz w:val="22"/>
          <w:szCs w:val="22"/>
        </w:rPr>
        <w:t>.</w:t>
      </w:r>
    </w:p>
    <w:p w14:paraId="66BDD37F" w14:textId="77777777" w:rsidR="00577C5D" w:rsidRDefault="00577C5D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95D4DB9" w14:textId="77777777" w:rsidR="008F7D49" w:rsidRPr="008F7D49" w:rsidRDefault="008F7D49" w:rsidP="00E66B56">
      <w:pPr>
        <w:spacing w:line="276" w:lineRule="auto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</w:pPr>
      <w:r w:rsidRPr="008F7D49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Urgency and ambition</w:t>
      </w:r>
    </w:p>
    <w:p w14:paraId="4568D68A" w14:textId="01287D58" w:rsidR="00A34BB4" w:rsidRDefault="00577C5D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Though there are some promising proposals in the methodology, overall, Recourse finds the proposed methodology lack</w:t>
      </w:r>
      <w:r w:rsidR="00B71281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ambition and urgency</w:t>
      </w:r>
      <w:r w:rsidR="00B71281">
        <w:rPr>
          <w:rFonts w:asciiTheme="majorHAnsi" w:hAnsiTheme="majorHAnsi" w:cstheme="majorHAnsi"/>
          <w:sz w:val="22"/>
          <w:szCs w:val="22"/>
        </w:rPr>
        <w:t>. W</w:t>
      </w:r>
      <w:r w:rsidR="00A34BB4" w:rsidRPr="00E66B56">
        <w:rPr>
          <w:rFonts w:asciiTheme="majorHAnsi" w:hAnsiTheme="majorHAnsi" w:cstheme="majorHAnsi"/>
          <w:sz w:val="22"/>
          <w:szCs w:val="22"/>
        </w:rPr>
        <w:t>e are running out of time to prevent runaway climate change and cannot wait</w:t>
      </w:r>
      <w:r w:rsidR="00B71281">
        <w:rPr>
          <w:rFonts w:asciiTheme="majorHAnsi" w:hAnsiTheme="majorHAnsi" w:cstheme="majorHAnsi"/>
          <w:sz w:val="22"/>
          <w:szCs w:val="22"/>
        </w:rPr>
        <w:t xml:space="preserve"> for the pace of gradual change proposed in this methodology</w:t>
      </w:r>
      <w:r w:rsidR="00A34BB4" w:rsidRPr="00E66B56">
        <w:rPr>
          <w:rFonts w:asciiTheme="majorHAnsi" w:hAnsiTheme="majorHAnsi" w:cstheme="majorHAnsi"/>
          <w:sz w:val="22"/>
          <w:szCs w:val="22"/>
        </w:rPr>
        <w:t>.</w:t>
      </w:r>
      <w:r w:rsidR="00B71281">
        <w:rPr>
          <w:rFonts w:asciiTheme="majorHAnsi" w:hAnsiTheme="majorHAnsi" w:cstheme="majorHAnsi"/>
          <w:sz w:val="22"/>
          <w:szCs w:val="22"/>
        </w:rPr>
        <w:t xml:space="preserve"> Public finance has a unique role to play in ensuring the shift from </w:t>
      </w:r>
      <w:r w:rsidR="00282201">
        <w:rPr>
          <w:rFonts w:asciiTheme="majorHAnsi" w:hAnsiTheme="majorHAnsi" w:cstheme="majorHAnsi"/>
          <w:sz w:val="22"/>
          <w:szCs w:val="22"/>
        </w:rPr>
        <w:t xml:space="preserve">dirty, fossil-based investments to a green and sustainable future. The EBRD’s </w:t>
      </w:r>
      <w:proofErr w:type="gramStart"/>
      <w:r w:rsidR="00282201">
        <w:rPr>
          <w:rFonts w:asciiTheme="majorHAnsi" w:hAnsiTheme="majorHAnsi" w:cstheme="majorHAnsi"/>
          <w:sz w:val="22"/>
          <w:szCs w:val="22"/>
        </w:rPr>
        <w:t>8 billion euro</w:t>
      </w:r>
      <w:proofErr w:type="gramEnd"/>
      <w:r w:rsidR="0037499C">
        <w:rPr>
          <w:rFonts w:asciiTheme="majorHAnsi" w:hAnsiTheme="majorHAnsi" w:cstheme="majorHAnsi"/>
          <w:sz w:val="22"/>
          <w:szCs w:val="22"/>
        </w:rPr>
        <w:t xml:space="preserve"> financial intermediary (FI) portfolio should be a catalyst for this shift.</w:t>
      </w:r>
    </w:p>
    <w:p w14:paraId="2914D6DF" w14:textId="718A18E4" w:rsidR="00B71281" w:rsidRDefault="00B71281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E0A0DF7" w14:textId="77777777" w:rsidR="008F7D49" w:rsidRPr="008F7D49" w:rsidRDefault="008F7D49" w:rsidP="00E66B56">
      <w:pPr>
        <w:spacing w:line="276" w:lineRule="auto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</w:pPr>
      <w:r w:rsidRPr="008F7D49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Transparency</w:t>
      </w:r>
    </w:p>
    <w:p w14:paraId="35C4FA6C" w14:textId="0DA41E5E" w:rsidR="0037499C" w:rsidRDefault="0037499C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The methodology fails to set out</w:t>
      </w:r>
      <w:r w:rsidR="001E4E87">
        <w:rPr>
          <w:rFonts w:asciiTheme="majorHAnsi" w:hAnsiTheme="majorHAnsi" w:cstheme="majorHAnsi"/>
          <w:sz w:val="22"/>
          <w:szCs w:val="22"/>
        </w:rPr>
        <w:t xml:space="preserve"> how </w:t>
      </w:r>
      <w:r>
        <w:rPr>
          <w:rFonts w:asciiTheme="majorHAnsi" w:hAnsiTheme="majorHAnsi" w:cstheme="majorHAnsi"/>
          <w:sz w:val="22"/>
          <w:szCs w:val="22"/>
        </w:rPr>
        <w:t xml:space="preserve">transparency </w:t>
      </w:r>
      <w:r w:rsidR="001E4E87">
        <w:rPr>
          <w:rFonts w:asciiTheme="majorHAnsi" w:hAnsiTheme="majorHAnsi" w:cstheme="majorHAnsi"/>
          <w:sz w:val="22"/>
          <w:szCs w:val="22"/>
        </w:rPr>
        <w:t xml:space="preserve">will be assured </w:t>
      </w:r>
      <w:r>
        <w:rPr>
          <w:rFonts w:asciiTheme="majorHAnsi" w:hAnsiTheme="majorHAnsi" w:cstheme="majorHAnsi"/>
          <w:sz w:val="22"/>
          <w:szCs w:val="22"/>
        </w:rPr>
        <w:t>around FI investments</w:t>
      </w:r>
      <w:r w:rsidR="007D1A51">
        <w:rPr>
          <w:rFonts w:asciiTheme="majorHAnsi" w:hAnsiTheme="majorHAnsi" w:cstheme="majorHAnsi"/>
          <w:sz w:val="22"/>
          <w:szCs w:val="22"/>
        </w:rPr>
        <w:t xml:space="preserve"> and why it is needed</w:t>
      </w:r>
      <w:r>
        <w:rPr>
          <w:rFonts w:asciiTheme="majorHAnsi" w:hAnsiTheme="majorHAnsi" w:cstheme="majorHAnsi"/>
          <w:sz w:val="22"/>
          <w:szCs w:val="22"/>
        </w:rPr>
        <w:t xml:space="preserve">. It is widely acknowledged (see Publish What You Fund’s </w:t>
      </w:r>
      <w:hyperlink r:id="rId9" w:history="1">
        <w:r w:rsidRPr="00434419">
          <w:rPr>
            <w:rStyle w:val="Hyperlink"/>
            <w:rFonts w:asciiTheme="majorHAnsi" w:hAnsiTheme="majorHAnsi" w:cstheme="majorHAnsi"/>
            <w:sz w:val="22"/>
            <w:szCs w:val="22"/>
          </w:rPr>
          <w:t>latest research on DFI FI transparency</w:t>
        </w:r>
      </w:hyperlink>
      <w:r>
        <w:rPr>
          <w:rFonts w:asciiTheme="majorHAnsi" w:hAnsiTheme="majorHAnsi" w:cstheme="majorHAnsi"/>
          <w:sz w:val="22"/>
          <w:szCs w:val="22"/>
        </w:rPr>
        <w:t>)</w:t>
      </w:r>
      <w:r w:rsidR="00434419">
        <w:rPr>
          <w:rFonts w:asciiTheme="majorHAnsi" w:hAnsiTheme="majorHAnsi" w:cstheme="majorHAnsi"/>
          <w:sz w:val="22"/>
          <w:szCs w:val="22"/>
        </w:rPr>
        <w:t xml:space="preserve"> that transparency is a significant problem in FI investing. Too often there is little to no information about where money ends up. This increases the risk that FI investments may </w:t>
      </w:r>
      <w:r w:rsidR="001E4E87">
        <w:rPr>
          <w:rFonts w:asciiTheme="majorHAnsi" w:hAnsiTheme="majorHAnsi" w:cstheme="majorHAnsi"/>
          <w:sz w:val="22"/>
          <w:szCs w:val="22"/>
        </w:rPr>
        <w:t>ultimately</w:t>
      </w:r>
      <w:r w:rsidR="00434419">
        <w:rPr>
          <w:rFonts w:asciiTheme="majorHAnsi" w:hAnsiTheme="majorHAnsi" w:cstheme="majorHAnsi"/>
          <w:sz w:val="22"/>
          <w:szCs w:val="22"/>
        </w:rPr>
        <w:t xml:space="preserve"> financ</w:t>
      </w:r>
      <w:r w:rsidR="001E4E87">
        <w:rPr>
          <w:rFonts w:asciiTheme="majorHAnsi" w:hAnsiTheme="majorHAnsi" w:cstheme="majorHAnsi"/>
          <w:sz w:val="22"/>
          <w:szCs w:val="22"/>
        </w:rPr>
        <w:t>e</w:t>
      </w:r>
      <w:r w:rsidR="00434419">
        <w:rPr>
          <w:rFonts w:asciiTheme="majorHAnsi" w:hAnsiTheme="majorHAnsi" w:cstheme="majorHAnsi"/>
          <w:sz w:val="22"/>
          <w:szCs w:val="22"/>
        </w:rPr>
        <w:t xml:space="preserve"> fossil fuels, as</w:t>
      </w:r>
      <w:r w:rsidR="007D1A51">
        <w:rPr>
          <w:rFonts w:asciiTheme="majorHAnsi" w:hAnsiTheme="majorHAnsi" w:cstheme="majorHAnsi"/>
          <w:sz w:val="22"/>
          <w:szCs w:val="22"/>
        </w:rPr>
        <w:t xml:space="preserve"> </w:t>
      </w:r>
      <w:hyperlink r:id="rId10" w:history="1">
        <w:r w:rsidR="007D1A51" w:rsidRPr="007D1A51">
          <w:rPr>
            <w:rStyle w:val="Hyperlink"/>
            <w:rFonts w:asciiTheme="majorHAnsi" w:hAnsiTheme="majorHAnsi" w:cstheme="majorHAnsi"/>
            <w:sz w:val="22"/>
            <w:szCs w:val="22"/>
          </w:rPr>
          <w:t>Recourse research on the International Finance Corporation (IFC)</w:t>
        </w:r>
      </w:hyperlink>
      <w:r w:rsidR="00434419">
        <w:rPr>
          <w:rFonts w:asciiTheme="majorHAnsi" w:hAnsiTheme="majorHAnsi" w:cstheme="majorHAnsi"/>
          <w:sz w:val="22"/>
          <w:szCs w:val="22"/>
        </w:rPr>
        <w:t xml:space="preserve"> </w:t>
      </w:r>
      <w:r w:rsidR="007D1A51" w:rsidRPr="00F73E08">
        <w:rPr>
          <w:rFonts w:asciiTheme="majorHAnsi" w:hAnsiTheme="majorHAnsi" w:cstheme="majorHAnsi"/>
          <w:sz w:val="22"/>
          <w:szCs w:val="22"/>
        </w:rPr>
        <w:t>Recourse research</w:t>
      </w:r>
      <w:r w:rsidR="00434419">
        <w:rPr>
          <w:rFonts w:asciiTheme="majorHAnsi" w:hAnsiTheme="majorHAnsi" w:cstheme="majorHAnsi"/>
          <w:sz w:val="22"/>
          <w:szCs w:val="22"/>
        </w:rPr>
        <w:t xml:space="preserve"> has shown. Enhanced transparency can shine a light on such risks and thus reduce them, ensuring the EBRD is accountable to its commitments.</w:t>
      </w:r>
      <w:r w:rsidR="008F7D49">
        <w:rPr>
          <w:rFonts w:asciiTheme="majorHAnsi" w:hAnsiTheme="majorHAnsi" w:cstheme="majorHAnsi"/>
          <w:sz w:val="22"/>
          <w:szCs w:val="22"/>
        </w:rPr>
        <w:t xml:space="preserve"> It is welcome that EBRD discloses </w:t>
      </w:r>
      <w:proofErr w:type="gramStart"/>
      <w:r w:rsidR="008F7D49">
        <w:rPr>
          <w:rFonts w:asciiTheme="majorHAnsi" w:hAnsiTheme="majorHAnsi" w:cstheme="majorHAnsi"/>
          <w:sz w:val="22"/>
          <w:szCs w:val="22"/>
        </w:rPr>
        <w:t>all of</w:t>
      </w:r>
      <w:proofErr w:type="gramEnd"/>
      <w:r w:rsidR="008F7D49">
        <w:rPr>
          <w:rFonts w:asciiTheme="majorHAnsi" w:hAnsiTheme="majorHAnsi" w:cstheme="majorHAnsi"/>
          <w:sz w:val="22"/>
          <w:szCs w:val="22"/>
        </w:rPr>
        <w:t xml:space="preserve"> its high </w:t>
      </w:r>
      <w:r w:rsidR="008F7D49">
        <w:rPr>
          <w:rFonts w:asciiTheme="majorHAnsi" w:hAnsiTheme="majorHAnsi" w:cstheme="majorHAnsi"/>
          <w:sz w:val="22"/>
          <w:szCs w:val="22"/>
        </w:rPr>
        <w:lastRenderedPageBreak/>
        <w:t xml:space="preserve">risk, Category A, sub-investments via FIs, but this does not go far enough. As </w:t>
      </w:r>
      <w:hyperlink r:id="rId11" w:history="1">
        <w:r w:rsidR="008F7D49" w:rsidRPr="008F7D49">
          <w:rPr>
            <w:rStyle w:val="Hyperlink"/>
            <w:rFonts w:asciiTheme="majorHAnsi" w:hAnsiTheme="majorHAnsi" w:cstheme="majorHAnsi"/>
            <w:sz w:val="22"/>
            <w:szCs w:val="22"/>
          </w:rPr>
          <w:t>research</w:t>
        </w:r>
      </w:hyperlink>
      <w:r w:rsidR="008F7D49">
        <w:rPr>
          <w:rFonts w:asciiTheme="majorHAnsi" w:hAnsiTheme="majorHAnsi" w:cstheme="majorHAnsi"/>
          <w:sz w:val="22"/>
          <w:szCs w:val="22"/>
        </w:rPr>
        <w:t xml:space="preserve"> has consistently shown, projects or FIs themselves may be miscategorised at a lower risk level (for example, Category B) than is warranted by the project’s impacts. For example, the IFC categorised its </w:t>
      </w:r>
      <w:hyperlink r:id="rId12" w:history="1">
        <w:r w:rsidR="008F7D49" w:rsidRPr="008F7D49">
          <w:rPr>
            <w:rStyle w:val="Hyperlink"/>
            <w:rFonts w:asciiTheme="majorHAnsi" w:hAnsiTheme="majorHAnsi" w:cstheme="majorHAnsi"/>
            <w:sz w:val="22"/>
            <w:szCs w:val="22"/>
          </w:rPr>
          <w:t>FI client Hana Bank Indonesia as FI2</w:t>
        </w:r>
      </w:hyperlink>
      <w:r w:rsidR="008F7D49">
        <w:rPr>
          <w:rFonts w:asciiTheme="majorHAnsi" w:hAnsiTheme="majorHAnsi" w:cstheme="majorHAnsi"/>
          <w:sz w:val="22"/>
          <w:szCs w:val="22"/>
        </w:rPr>
        <w:t xml:space="preserve"> – or medium risk – though the bank went on to fund </w:t>
      </w:r>
      <w:hyperlink r:id="rId13" w:history="1">
        <w:r w:rsidR="008F7D49" w:rsidRPr="008F7D49">
          <w:rPr>
            <w:rStyle w:val="Hyperlink"/>
            <w:rFonts w:asciiTheme="majorHAnsi" w:hAnsiTheme="majorHAnsi" w:cstheme="majorHAnsi"/>
            <w:sz w:val="22"/>
            <w:szCs w:val="22"/>
          </w:rPr>
          <w:t>two massive new coal plants</w:t>
        </w:r>
      </w:hyperlink>
      <w:r w:rsidR="008F7D49">
        <w:rPr>
          <w:rFonts w:asciiTheme="majorHAnsi" w:hAnsiTheme="majorHAnsi" w:cstheme="majorHAnsi"/>
          <w:sz w:val="22"/>
          <w:szCs w:val="22"/>
        </w:rPr>
        <w:t xml:space="preserve"> in Indonesia in 2020.</w:t>
      </w:r>
    </w:p>
    <w:p w14:paraId="086C424F" w14:textId="77777777" w:rsidR="008F7D49" w:rsidRDefault="008F7D49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E92B639" w14:textId="03A187C6" w:rsidR="00A34BB4" w:rsidRDefault="008F7D49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set a clear </w:t>
      </w:r>
      <w:r w:rsidR="004342CF">
        <w:rPr>
          <w:rFonts w:asciiTheme="majorHAnsi" w:hAnsiTheme="majorHAnsi" w:cstheme="majorHAnsi"/>
          <w:sz w:val="22"/>
          <w:szCs w:val="22"/>
        </w:rPr>
        <w:t>requirement for other MDBs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, </w:t>
      </w:r>
      <w:r w:rsidR="004342CF">
        <w:rPr>
          <w:rFonts w:asciiTheme="majorHAnsi" w:hAnsiTheme="majorHAnsi" w:cstheme="majorHAnsi"/>
          <w:sz w:val="22"/>
          <w:szCs w:val="22"/>
        </w:rPr>
        <w:t xml:space="preserve">as well as for the EBRD, 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it is vital that the </w:t>
      </w:r>
      <w:r w:rsidR="004342CF">
        <w:rPr>
          <w:rFonts w:asciiTheme="majorHAnsi" w:hAnsiTheme="majorHAnsi" w:cstheme="majorHAnsi"/>
          <w:sz w:val="22"/>
          <w:szCs w:val="22"/>
        </w:rPr>
        <w:t>methodology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 state up front that </w:t>
      </w:r>
      <w:r w:rsidR="004342CF">
        <w:rPr>
          <w:rFonts w:asciiTheme="majorHAnsi" w:hAnsiTheme="majorHAnsi" w:cstheme="majorHAnsi"/>
          <w:sz w:val="22"/>
          <w:szCs w:val="22"/>
        </w:rPr>
        <w:t>transparency is central to any methodology addressing Paris alignment</w:t>
      </w:r>
      <w:r w:rsidR="007D1A51">
        <w:rPr>
          <w:rFonts w:asciiTheme="majorHAnsi" w:hAnsiTheme="majorHAnsi" w:cstheme="majorHAnsi"/>
          <w:sz w:val="22"/>
          <w:szCs w:val="22"/>
        </w:rPr>
        <w:t xml:space="preserve"> (the goal to stay below 1.5 degrees Celsius of warming)</w:t>
      </w:r>
      <w:r w:rsidR="004342CF">
        <w:rPr>
          <w:rFonts w:asciiTheme="majorHAnsi" w:hAnsiTheme="majorHAnsi" w:cstheme="majorHAnsi"/>
          <w:sz w:val="22"/>
          <w:szCs w:val="22"/>
        </w:rPr>
        <w:t xml:space="preserve">. It should state that medium and high-risk </w:t>
      </w:r>
      <w:r w:rsidR="00A34BB4" w:rsidRPr="00E66B56">
        <w:rPr>
          <w:rFonts w:asciiTheme="majorHAnsi" w:hAnsiTheme="majorHAnsi" w:cstheme="majorHAnsi"/>
          <w:sz w:val="22"/>
          <w:szCs w:val="22"/>
        </w:rPr>
        <w:t>sub</w:t>
      </w:r>
      <w:r w:rsidR="004342CF">
        <w:rPr>
          <w:rFonts w:asciiTheme="majorHAnsi" w:hAnsiTheme="majorHAnsi" w:cstheme="majorHAnsi"/>
          <w:sz w:val="22"/>
          <w:szCs w:val="22"/>
        </w:rPr>
        <w:t>-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projects financed through FIs will be disclosed publicly – at least </w:t>
      </w:r>
      <w:r w:rsidR="004342CF">
        <w:rPr>
          <w:rFonts w:asciiTheme="majorHAnsi" w:hAnsiTheme="majorHAnsi" w:cstheme="majorHAnsi"/>
          <w:sz w:val="22"/>
          <w:szCs w:val="22"/>
        </w:rPr>
        <w:t xml:space="preserve">the </w:t>
      </w:r>
      <w:r w:rsidR="00A34BB4" w:rsidRPr="00E66B56">
        <w:rPr>
          <w:rFonts w:asciiTheme="majorHAnsi" w:hAnsiTheme="majorHAnsi" w:cstheme="majorHAnsi"/>
          <w:sz w:val="22"/>
          <w:szCs w:val="22"/>
        </w:rPr>
        <w:t xml:space="preserve">name, </w:t>
      </w:r>
      <w:proofErr w:type="gramStart"/>
      <w:r w:rsidR="00A34BB4" w:rsidRPr="00E66B56">
        <w:rPr>
          <w:rFonts w:asciiTheme="majorHAnsi" w:hAnsiTheme="majorHAnsi" w:cstheme="majorHAnsi"/>
          <w:sz w:val="22"/>
          <w:szCs w:val="22"/>
        </w:rPr>
        <w:t>sector</w:t>
      </w:r>
      <w:proofErr w:type="gramEnd"/>
      <w:r w:rsidR="00A34BB4" w:rsidRPr="00E66B56">
        <w:rPr>
          <w:rFonts w:asciiTheme="majorHAnsi" w:hAnsiTheme="majorHAnsi" w:cstheme="majorHAnsi"/>
          <w:sz w:val="22"/>
          <w:szCs w:val="22"/>
        </w:rPr>
        <w:t xml:space="preserve"> and location. Without this, civil society will not be able to track whether EBRD is living up to its Paris alignment commitment. </w:t>
      </w:r>
    </w:p>
    <w:p w14:paraId="11B4711A" w14:textId="77777777" w:rsidR="004342CF" w:rsidRPr="00E66B56" w:rsidRDefault="004342CF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719DD7F" w14:textId="371735F0" w:rsidR="00A34BB4" w:rsidRDefault="00A34BB4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B56">
        <w:rPr>
          <w:rFonts w:asciiTheme="majorHAnsi" w:hAnsiTheme="majorHAnsi" w:cstheme="majorHAnsi"/>
          <w:sz w:val="22"/>
          <w:szCs w:val="22"/>
        </w:rPr>
        <w:t xml:space="preserve">Second, this methodology will only apply to new FI clients. This means that EBRD’s existing </w:t>
      </w:r>
      <w:proofErr w:type="gramStart"/>
      <w:r w:rsidRPr="00E66B56">
        <w:rPr>
          <w:rFonts w:asciiTheme="majorHAnsi" w:hAnsiTheme="majorHAnsi" w:cstheme="majorHAnsi"/>
          <w:sz w:val="22"/>
          <w:szCs w:val="22"/>
        </w:rPr>
        <w:t>8 billion euro</w:t>
      </w:r>
      <w:proofErr w:type="gramEnd"/>
      <w:r w:rsidRPr="00E66B56">
        <w:rPr>
          <w:rFonts w:asciiTheme="majorHAnsi" w:hAnsiTheme="majorHAnsi" w:cstheme="majorHAnsi"/>
          <w:sz w:val="22"/>
          <w:szCs w:val="22"/>
        </w:rPr>
        <w:t xml:space="preserve"> FI portfolio will </w:t>
      </w:r>
      <w:r w:rsidR="007D1A51">
        <w:rPr>
          <w:rFonts w:asciiTheme="majorHAnsi" w:hAnsiTheme="majorHAnsi" w:cstheme="majorHAnsi"/>
          <w:sz w:val="22"/>
          <w:szCs w:val="22"/>
        </w:rPr>
        <w:t>not</w:t>
      </w:r>
      <w:r w:rsidRPr="00E66B56">
        <w:rPr>
          <w:rFonts w:asciiTheme="majorHAnsi" w:hAnsiTheme="majorHAnsi" w:cstheme="majorHAnsi"/>
          <w:sz w:val="22"/>
          <w:szCs w:val="22"/>
        </w:rPr>
        <w:t xml:space="preserve"> be Paris aligned. This is not good enough and the methodology must set out how EBRD will </w:t>
      </w:r>
      <w:r w:rsidR="00F859E9">
        <w:rPr>
          <w:rFonts w:asciiTheme="majorHAnsi" w:hAnsiTheme="majorHAnsi" w:cstheme="majorHAnsi"/>
          <w:sz w:val="22"/>
          <w:szCs w:val="22"/>
        </w:rPr>
        <w:t>apply this to</w:t>
      </w:r>
      <w:r w:rsidRPr="00E66B56">
        <w:rPr>
          <w:rFonts w:asciiTheme="majorHAnsi" w:hAnsiTheme="majorHAnsi" w:cstheme="majorHAnsi"/>
          <w:sz w:val="22"/>
          <w:szCs w:val="22"/>
        </w:rPr>
        <w:t xml:space="preserve"> its existing FI clients. </w:t>
      </w:r>
    </w:p>
    <w:p w14:paraId="55AC3277" w14:textId="77777777" w:rsidR="00F859E9" w:rsidRPr="00E66B56" w:rsidRDefault="00F859E9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BB6522D" w14:textId="13D82BE2" w:rsidR="009E3DDC" w:rsidRPr="00E66B56" w:rsidRDefault="00A34BB4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E66B56">
        <w:rPr>
          <w:rFonts w:asciiTheme="majorHAnsi" w:hAnsiTheme="majorHAnsi" w:cstheme="majorHAnsi"/>
          <w:sz w:val="22"/>
          <w:szCs w:val="22"/>
        </w:rPr>
        <w:t>Third, Pillar 2 is the one that will truly show whether sub projects financed via FIs are Paris aligned. And yet Pillar 2 will only apply to some debt clients. It must apply across all debt and equity clients</w:t>
      </w:r>
      <w:r w:rsidR="00B9687C">
        <w:rPr>
          <w:rFonts w:asciiTheme="majorHAnsi" w:hAnsiTheme="majorHAnsi" w:cstheme="majorHAnsi"/>
          <w:sz w:val="22"/>
          <w:szCs w:val="22"/>
        </w:rPr>
        <w:t>, to ensure all EBRD-financed subprojects are Paris aligned</w:t>
      </w:r>
      <w:r w:rsidRPr="00E66B56">
        <w:rPr>
          <w:rFonts w:asciiTheme="majorHAnsi" w:hAnsiTheme="majorHAnsi" w:cstheme="majorHAnsi"/>
          <w:sz w:val="22"/>
          <w:szCs w:val="22"/>
        </w:rPr>
        <w:t>.</w:t>
      </w:r>
    </w:p>
    <w:p w14:paraId="646FBF97" w14:textId="77777777" w:rsidR="00F859E9" w:rsidRDefault="00F859E9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DD7637" w14:textId="7D5B44D0" w:rsidR="00A34BB4" w:rsidRPr="00E66B56" w:rsidRDefault="00A34BB4" w:rsidP="00E66B56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E66B56">
        <w:rPr>
          <w:rFonts w:asciiTheme="majorHAnsi" w:hAnsiTheme="majorHAnsi" w:cstheme="majorHAnsi"/>
          <w:sz w:val="22"/>
          <w:szCs w:val="22"/>
        </w:rPr>
        <w:t>Fourth EBRD Paris alignment definition</w:t>
      </w:r>
      <w:r w:rsidR="00F859E9">
        <w:rPr>
          <w:rFonts w:asciiTheme="majorHAnsi" w:hAnsiTheme="majorHAnsi" w:cstheme="majorHAnsi"/>
          <w:sz w:val="22"/>
          <w:szCs w:val="22"/>
        </w:rPr>
        <w:t xml:space="preserve"> allow</w:t>
      </w:r>
      <w:r w:rsidR="00B9687C">
        <w:rPr>
          <w:rFonts w:asciiTheme="majorHAnsi" w:hAnsiTheme="majorHAnsi" w:cstheme="majorHAnsi"/>
          <w:sz w:val="22"/>
          <w:szCs w:val="22"/>
        </w:rPr>
        <w:t>s</w:t>
      </w:r>
      <w:r w:rsidR="00F859E9">
        <w:rPr>
          <w:rFonts w:asciiTheme="majorHAnsi" w:hAnsiTheme="majorHAnsi" w:cstheme="majorHAnsi"/>
          <w:sz w:val="22"/>
          <w:szCs w:val="22"/>
        </w:rPr>
        <w:t xml:space="preserve"> for</w:t>
      </w:r>
      <w:r w:rsidRPr="00E66B56">
        <w:rPr>
          <w:rFonts w:asciiTheme="majorHAnsi" w:hAnsiTheme="majorHAnsi" w:cstheme="majorHAnsi"/>
          <w:sz w:val="22"/>
          <w:szCs w:val="22"/>
        </w:rPr>
        <w:t xml:space="preserve"> mid and downstream oil and gas – </w:t>
      </w:r>
      <w:r w:rsidR="00F859E9">
        <w:rPr>
          <w:rFonts w:asciiTheme="majorHAnsi" w:hAnsiTheme="majorHAnsi" w:cstheme="majorHAnsi"/>
          <w:sz w:val="22"/>
          <w:szCs w:val="22"/>
        </w:rPr>
        <w:t>but</w:t>
      </w:r>
      <w:r w:rsidRPr="00E66B56">
        <w:rPr>
          <w:rFonts w:asciiTheme="majorHAnsi" w:hAnsiTheme="majorHAnsi" w:cstheme="majorHAnsi"/>
          <w:sz w:val="22"/>
          <w:szCs w:val="22"/>
        </w:rPr>
        <w:t xml:space="preserve"> public finance should </w:t>
      </w:r>
      <w:r w:rsidR="00F859E9">
        <w:rPr>
          <w:rFonts w:asciiTheme="majorHAnsi" w:hAnsiTheme="majorHAnsi" w:cstheme="majorHAnsi"/>
          <w:sz w:val="22"/>
          <w:szCs w:val="22"/>
        </w:rPr>
        <w:t xml:space="preserve">not </w:t>
      </w:r>
      <w:r w:rsidRPr="00E66B56">
        <w:rPr>
          <w:rFonts w:asciiTheme="majorHAnsi" w:hAnsiTheme="majorHAnsi" w:cstheme="majorHAnsi"/>
          <w:sz w:val="22"/>
          <w:szCs w:val="22"/>
        </w:rPr>
        <w:t xml:space="preserve">be used to subsidise oil and gas. Public money should fund </w:t>
      </w:r>
      <w:r w:rsidR="00F859E9">
        <w:rPr>
          <w:rFonts w:asciiTheme="majorHAnsi" w:hAnsiTheme="majorHAnsi" w:cstheme="majorHAnsi"/>
          <w:sz w:val="22"/>
          <w:szCs w:val="22"/>
        </w:rPr>
        <w:t xml:space="preserve">the </w:t>
      </w:r>
      <w:r w:rsidRPr="00E66B56">
        <w:rPr>
          <w:rFonts w:asciiTheme="majorHAnsi" w:hAnsiTheme="majorHAnsi" w:cstheme="majorHAnsi"/>
          <w:sz w:val="22"/>
          <w:szCs w:val="22"/>
        </w:rPr>
        <w:t>transition</w:t>
      </w:r>
      <w:r w:rsidR="00F859E9">
        <w:rPr>
          <w:rFonts w:asciiTheme="majorHAnsi" w:hAnsiTheme="majorHAnsi" w:cstheme="majorHAnsi"/>
          <w:sz w:val="22"/>
          <w:szCs w:val="22"/>
        </w:rPr>
        <w:t xml:space="preserve"> to sustainable, renewable energy</w:t>
      </w:r>
      <w:r w:rsidRPr="00E66B56">
        <w:rPr>
          <w:rFonts w:asciiTheme="majorHAnsi" w:hAnsiTheme="majorHAnsi" w:cstheme="majorHAnsi"/>
          <w:sz w:val="22"/>
          <w:szCs w:val="22"/>
        </w:rPr>
        <w:t xml:space="preserve">. </w:t>
      </w:r>
      <w:r w:rsidR="00F859E9">
        <w:rPr>
          <w:rFonts w:asciiTheme="majorHAnsi" w:hAnsiTheme="majorHAnsi" w:cstheme="majorHAnsi"/>
          <w:sz w:val="22"/>
          <w:szCs w:val="22"/>
        </w:rPr>
        <w:t xml:space="preserve">Note that </w:t>
      </w:r>
      <w:r w:rsidRPr="00E66B56">
        <w:rPr>
          <w:rFonts w:asciiTheme="majorHAnsi" w:hAnsiTheme="majorHAnsi" w:cstheme="majorHAnsi"/>
          <w:sz w:val="22"/>
          <w:szCs w:val="22"/>
        </w:rPr>
        <w:t>51% of your shareholders have signed up at C</w:t>
      </w:r>
      <w:r w:rsidR="00F859E9">
        <w:rPr>
          <w:rFonts w:asciiTheme="majorHAnsi" w:hAnsiTheme="majorHAnsi" w:cstheme="majorHAnsi"/>
          <w:sz w:val="22"/>
          <w:szCs w:val="22"/>
        </w:rPr>
        <w:t>O</w:t>
      </w:r>
      <w:r w:rsidRPr="00E66B56">
        <w:rPr>
          <w:rFonts w:asciiTheme="majorHAnsi" w:hAnsiTheme="majorHAnsi" w:cstheme="majorHAnsi"/>
          <w:sz w:val="22"/>
          <w:szCs w:val="22"/>
        </w:rPr>
        <w:t xml:space="preserve">P26 </w:t>
      </w:r>
      <w:r w:rsidRPr="00E66B56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to commitment to </w:t>
      </w:r>
      <w:r w:rsidRPr="00E66B56">
        <w:rPr>
          <w:rFonts w:asciiTheme="majorHAnsi" w:eastAsia="Times New Roman" w:hAnsiTheme="majorHAnsi" w:cstheme="majorHAnsi"/>
          <w:color w:val="3C3C3B"/>
          <w:sz w:val="22"/>
          <w:szCs w:val="22"/>
          <w:lang w:eastAsia="en-GB"/>
        </w:rPr>
        <w:t>‘’end new direct public support for the international unabated fossil fuel energy sector by the end of 2022’’</w:t>
      </w:r>
      <w:r w:rsidR="00F859E9">
        <w:rPr>
          <w:rFonts w:asciiTheme="majorHAnsi" w:eastAsia="Times New Roman" w:hAnsiTheme="majorHAnsi" w:cstheme="majorHAnsi"/>
          <w:color w:val="3C3C3B"/>
          <w:sz w:val="22"/>
          <w:szCs w:val="22"/>
          <w:lang w:eastAsia="en-GB"/>
        </w:rPr>
        <w:t xml:space="preserve"> so are already leading the way on this transition.</w:t>
      </w:r>
    </w:p>
    <w:p w14:paraId="5951A77F" w14:textId="7ACBF1B1" w:rsidR="00A34BB4" w:rsidRDefault="00A34BB4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8D92A36" w14:textId="0EC2BC17" w:rsidR="0037499C" w:rsidRPr="004342CF" w:rsidRDefault="004342CF" w:rsidP="0037499C">
      <w:pPr>
        <w:spacing w:line="276" w:lineRule="auto"/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</w:pPr>
      <w:r w:rsidRPr="004342CF">
        <w:rPr>
          <w:rFonts w:asciiTheme="majorHAnsi" w:hAnsiTheme="majorHAnsi" w:cstheme="majorHAnsi"/>
          <w:b/>
          <w:bCs/>
          <w:color w:val="4472C4" w:themeColor="accent1"/>
          <w:sz w:val="22"/>
          <w:szCs w:val="22"/>
        </w:rPr>
        <w:t>Specific comments on the methodology</w:t>
      </w:r>
    </w:p>
    <w:p w14:paraId="0E351D81" w14:textId="37F5ECB9" w:rsidR="0037499C" w:rsidRPr="004C6883" w:rsidRDefault="00B9687C" w:rsidP="0037499C">
      <w:pPr>
        <w:pStyle w:val="ListParagraph"/>
        <w:numPr>
          <w:ilvl w:val="1"/>
          <w:numId w:val="1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Style w:val="FootnoteReference"/>
          <w:rFonts w:asciiTheme="majorHAnsi" w:hAnsiTheme="majorHAnsi" w:cstheme="majorHAnsi"/>
          <w:color w:val="000000" w:themeColor="text1"/>
          <w:sz w:val="22"/>
          <w:szCs w:val="22"/>
        </w:rPr>
        <w:footnoteReference w:id="1"/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It is welcome that the methodology</w:t>
      </w:r>
      <w:r w:rsidR="0037499C"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mentions </w:t>
      </w:r>
      <w:r w:rsidR="00320C39">
        <w:rPr>
          <w:rFonts w:asciiTheme="majorHAnsi" w:hAnsiTheme="majorHAnsi" w:cstheme="majorHAnsi"/>
          <w:color w:val="000000" w:themeColor="text1"/>
          <w:sz w:val="22"/>
          <w:szCs w:val="22"/>
        </w:rPr>
        <w:t>keeping global warming below</w:t>
      </w:r>
      <w:r w:rsidR="0037499C"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2 degrees </w:t>
      </w:r>
      <w:r w:rsidR="00320C39">
        <w:rPr>
          <w:rFonts w:asciiTheme="majorHAnsi" w:hAnsiTheme="majorHAnsi" w:cstheme="majorHAnsi"/>
          <w:color w:val="000000" w:themeColor="text1"/>
          <w:sz w:val="22"/>
          <w:szCs w:val="22"/>
        </w:rPr>
        <w:t>limit</w:t>
      </w:r>
      <w:r w:rsidR="0037499C"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the 1.5 degrees goal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, but it should place </w:t>
      </w:r>
      <w:r w:rsidR="004342CF" w:rsidRPr="004342C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more emphasis on the need to stay below 1.5 degrees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, </w:t>
      </w:r>
      <w:r w:rsidRPr="00F73E08">
        <w:rPr>
          <w:rFonts w:asciiTheme="majorHAnsi" w:hAnsiTheme="majorHAnsi" w:cstheme="majorHAnsi"/>
          <w:color w:val="000000" w:themeColor="text1"/>
          <w:sz w:val="22"/>
          <w:szCs w:val="22"/>
        </w:rPr>
        <w:t>including targets and timelines to achieve this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26B9A712" w14:textId="77777777" w:rsidR="0037499C" w:rsidRPr="004C6883" w:rsidRDefault="0037499C" w:rsidP="0037499C">
      <w:p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B4B22C6" w14:textId="79273E14" w:rsidR="0037499C" w:rsidRPr="004C6883" w:rsidRDefault="0037499C" w:rsidP="0037499C">
      <w:pPr>
        <w:pStyle w:val="ListParagraph"/>
        <w:numPr>
          <w:ilvl w:val="1"/>
          <w:numId w:val="2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EBRD committed to align all investments by end of 2022 (earlier than other MDBs </w:t>
      </w:r>
      <w:proofErr w:type="spellStart"/>
      <w:proofErr w:type="gramStart"/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>eg</w:t>
      </w:r>
      <w:proofErr w:type="spellEnd"/>
      <w:proofErr w:type="gramEnd"/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IFC and 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the Asian Infrastructure Investment Bank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which is welcome.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But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it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is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clear after reading the document, 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that 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this is not 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the case. EBRD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will 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instead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 applying a methodology that will gradually help clients become more Paris aligned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</w:t>
      </w:r>
      <w:proofErr w:type="spellStart"/>
      <w:proofErr w:type="gramStart"/>
      <w:r>
        <w:rPr>
          <w:rFonts w:asciiTheme="majorHAnsi" w:hAnsiTheme="majorHAnsi" w:cstheme="majorHAnsi"/>
          <w:color w:val="000000" w:themeColor="text1"/>
          <w:sz w:val="22"/>
          <w:szCs w:val="22"/>
        </w:rPr>
        <w:t>eg</w:t>
      </w:r>
      <w:proofErr w:type="spellEnd"/>
      <w:proofErr w:type="gramEnd"/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2027)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But in </w:t>
      </w:r>
      <w:r w:rsidRPr="004342C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no way can this be described as all EBRD investments </w:t>
      </w:r>
      <w:r w:rsidRPr="004342CF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</w:rPr>
        <w:t>being</w:t>
      </w:r>
      <w:r w:rsidRPr="004342CF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 xml:space="preserve"> Paris aligned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</w:p>
    <w:p w14:paraId="4C81D979" w14:textId="77777777" w:rsidR="0037499C" w:rsidRPr="004C6883" w:rsidRDefault="0037499C" w:rsidP="0037499C">
      <w:pPr>
        <w:pStyle w:val="ListParagraph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C80E51A" w14:textId="26763593" w:rsidR="0037499C" w:rsidRPr="004C6883" w:rsidRDefault="0037499C" w:rsidP="0037499C">
      <w:p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1.7 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It is g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ood that EBRD will </w:t>
      </w:r>
      <w:r w:rsidRPr="00395846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review its Paris alignment methodology annually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>, to reflect les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>s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>ons learned and other initiatives inc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>luding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by other MDBs.</w:t>
      </w:r>
      <w:r w:rsidR="004342C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(See comment above.)</w:t>
      </w:r>
    </w:p>
    <w:p w14:paraId="67E1F0BB" w14:textId="77777777" w:rsidR="0037499C" w:rsidRPr="004C6883" w:rsidRDefault="0037499C" w:rsidP="0037499C">
      <w:p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DBD9688" w14:textId="63450862" w:rsidR="0037499C" w:rsidRPr="004342CF" w:rsidRDefault="0037499C" w:rsidP="0037499C">
      <w:pPr>
        <w:pStyle w:val="Default"/>
        <w:spacing w:line="276" w:lineRule="auto"/>
        <w:rPr>
          <w:rFonts w:asciiTheme="majorHAnsi" w:hAnsiTheme="majorHAnsi" w:cstheme="majorHAnsi"/>
        </w:rPr>
      </w:pP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>1.</w:t>
      </w:r>
      <w:r w:rsidR="00B9687C">
        <w:rPr>
          <w:rFonts w:asciiTheme="majorHAnsi" w:hAnsiTheme="majorHAnsi" w:cstheme="majorHAnsi"/>
          <w:color w:val="000000" w:themeColor="text1"/>
          <w:sz w:val="22"/>
          <w:szCs w:val="22"/>
        </w:rPr>
        <w:t>10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EBRD recognises that it can have a catalytic effect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through its FI lending</w:t>
      </w:r>
      <w:r w:rsidRPr="004C688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– with its impact on FIs wider than just its own investments: </w:t>
      </w:r>
      <w:r w:rsidRPr="007B4337">
        <w:rPr>
          <w:rFonts w:asciiTheme="majorHAnsi" w:hAnsiTheme="majorHAnsi" w:cstheme="majorHAnsi"/>
          <w:sz w:val="22"/>
          <w:szCs w:val="22"/>
        </w:rPr>
        <w:t xml:space="preserve">“by capitalising on its interactions with </w:t>
      </w:r>
      <w:commentRangeStart w:id="0"/>
      <w:r w:rsidRPr="007B4337">
        <w:rPr>
          <w:rFonts w:asciiTheme="majorHAnsi" w:hAnsiTheme="majorHAnsi" w:cstheme="majorHAnsi"/>
          <w:sz w:val="22"/>
          <w:szCs w:val="22"/>
        </w:rPr>
        <w:t>PFIs</w:t>
      </w:r>
      <w:commentRangeEnd w:id="0"/>
      <w:r w:rsidR="00320C39">
        <w:rPr>
          <w:rStyle w:val="CommentReference"/>
          <w:rFonts w:asciiTheme="minorHAnsi" w:hAnsiTheme="minorHAnsi" w:cstheme="minorBidi"/>
          <w:color w:val="auto"/>
        </w:rPr>
        <w:commentReference w:id="0"/>
      </w:r>
      <w:r w:rsidRPr="007B4337">
        <w:rPr>
          <w:rFonts w:asciiTheme="majorHAnsi" w:hAnsiTheme="majorHAnsi" w:cstheme="majorHAnsi"/>
          <w:sz w:val="22"/>
          <w:szCs w:val="22"/>
        </w:rPr>
        <w:t xml:space="preserve"> to promote their Paris alignment, the EBRD can impact financial flows that are many times larger than its own lending </w:t>
      </w:r>
      <w:r w:rsidRPr="007B4337">
        <w:rPr>
          <w:rFonts w:asciiTheme="majorHAnsi" w:hAnsiTheme="majorHAnsi" w:cstheme="majorHAnsi"/>
          <w:sz w:val="22"/>
          <w:szCs w:val="22"/>
        </w:rPr>
        <w:lastRenderedPageBreak/>
        <w:t>volumes.”</w:t>
      </w:r>
      <w:r w:rsidR="00395846">
        <w:rPr>
          <w:rFonts w:asciiTheme="majorHAnsi" w:hAnsiTheme="majorHAnsi" w:cstheme="majorHAnsi"/>
          <w:sz w:val="22"/>
          <w:szCs w:val="22"/>
        </w:rPr>
        <w:t xml:space="preserve"> This 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 xml:space="preserve">increases the </w:t>
      </w:r>
      <w:r w:rsidR="00320C39">
        <w:rPr>
          <w:rFonts w:asciiTheme="majorHAnsi" w:hAnsiTheme="majorHAnsi" w:cstheme="majorHAnsi"/>
          <w:b/>
          <w:bCs/>
          <w:sz w:val="22"/>
          <w:szCs w:val="22"/>
        </w:rPr>
        <w:t>responsibility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9687C" w:rsidRPr="00395846">
        <w:rPr>
          <w:rFonts w:asciiTheme="majorHAnsi" w:hAnsiTheme="majorHAnsi" w:cstheme="majorHAnsi"/>
          <w:b/>
          <w:bCs/>
          <w:sz w:val="22"/>
          <w:szCs w:val="22"/>
        </w:rPr>
        <w:t>o</w:t>
      </w:r>
      <w:r w:rsidR="00B9687C">
        <w:rPr>
          <w:rFonts w:asciiTheme="majorHAnsi" w:hAnsiTheme="majorHAnsi" w:cstheme="majorHAnsi"/>
          <w:b/>
          <w:bCs/>
          <w:sz w:val="22"/>
          <w:szCs w:val="22"/>
        </w:rPr>
        <w:t>f</w:t>
      </w:r>
      <w:r w:rsidR="00B9687C" w:rsidRPr="003958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>the EBRD</w:t>
      </w:r>
      <w:r w:rsidR="00395846">
        <w:rPr>
          <w:rFonts w:asciiTheme="majorHAnsi" w:hAnsiTheme="majorHAnsi" w:cstheme="majorHAnsi"/>
          <w:sz w:val="22"/>
          <w:szCs w:val="22"/>
        </w:rPr>
        <w:t xml:space="preserve"> to ensure it is doing all it can to support the alignment of FI clients and their investments.</w:t>
      </w:r>
    </w:p>
    <w:p w14:paraId="030655D8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1803F5" w14:textId="05BE1996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1.12 EBRD will help its FI clients to transition, through the development of “institutional transition plans”. “These plans will, among other things, set a route for the transformation of their lending portfolios, establish underlying business practices to deliver on their ambitions and </w:t>
      </w:r>
      <w:r w:rsidRPr="007B4337">
        <w:rPr>
          <w:rFonts w:asciiTheme="majorHAnsi" w:hAnsiTheme="majorHAnsi" w:cstheme="majorHAnsi"/>
          <w:i/>
          <w:iCs/>
          <w:sz w:val="22"/>
          <w:szCs w:val="22"/>
        </w:rPr>
        <w:t>work towards public disclosure</w:t>
      </w:r>
      <w:r w:rsidRPr="007B4337">
        <w:rPr>
          <w:rFonts w:asciiTheme="majorHAnsi" w:hAnsiTheme="majorHAnsi" w:cstheme="majorHAnsi"/>
          <w:sz w:val="22"/>
          <w:szCs w:val="22"/>
        </w:rPr>
        <w:t xml:space="preserve">.” </w:t>
      </w:r>
      <w:r w:rsidR="00395846">
        <w:rPr>
          <w:rFonts w:asciiTheme="majorHAnsi" w:hAnsiTheme="majorHAnsi" w:cstheme="majorHAnsi"/>
          <w:sz w:val="22"/>
          <w:szCs w:val="22"/>
        </w:rPr>
        <w:t>As mentioned above, w</w:t>
      </w:r>
      <w:r>
        <w:rPr>
          <w:rFonts w:asciiTheme="majorHAnsi" w:hAnsiTheme="majorHAnsi" w:cstheme="majorHAnsi"/>
          <w:sz w:val="22"/>
          <w:szCs w:val="22"/>
        </w:rPr>
        <w:t xml:space="preserve">ithout </w:t>
      </w:r>
      <w:r w:rsidR="00395846">
        <w:rPr>
          <w:rFonts w:asciiTheme="majorHAnsi" w:hAnsiTheme="majorHAnsi" w:cstheme="majorHAnsi"/>
          <w:sz w:val="22"/>
          <w:szCs w:val="22"/>
        </w:rPr>
        <w:t>sufficient</w:t>
      </w:r>
      <w:r>
        <w:rPr>
          <w:rFonts w:asciiTheme="majorHAnsi" w:hAnsiTheme="majorHAnsi" w:cstheme="majorHAnsi"/>
          <w:sz w:val="22"/>
          <w:szCs w:val="22"/>
        </w:rPr>
        <w:t xml:space="preserve"> public disclosure, there will be no accountability for whether Paris alignment is a reality or not. But </w:t>
      </w:r>
      <w:r w:rsidRPr="00395846">
        <w:rPr>
          <w:rFonts w:asciiTheme="majorHAnsi" w:hAnsiTheme="majorHAnsi" w:cstheme="majorHAnsi"/>
          <w:b/>
          <w:bCs/>
          <w:sz w:val="22"/>
          <w:szCs w:val="22"/>
        </w:rPr>
        <w:t>the draft does not address disclosure in a clear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 xml:space="preserve"> and</w:t>
      </w:r>
      <w:r w:rsidRPr="00395846">
        <w:rPr>
          <w:rFonts w:asciiTheme="majorHAnsi" w:hAnsiTheme="majorHAnsi" w:cstheme="majorHAnsi"/>
          <w:b/>
          <w:bCs/>
          <w:sz w:val="22"/>
          <w:szCs w:val="22"/>
        </w:rPr>
        <w:t xml:space="preserve"> defined way</w:t>
      </w:r>
      <w:r>
        <w:rPr>
          <w:rFonts w:asciiTheme="majorHAnsi" w:hAnsiTheme="majorHAnsi" w:cstheme="majorHAnsi"/>
          <w:sz w:val="22"/>
          <w:szCs w:val="22"/>
        </w:rPr>
        <w:t xml:space="preserve"> – </w:t>
      </w:r>
      <w:r w:rsidR="00395846">
        <w:rPr>
          <w:rFonts w:asciiTheme="majorHAnsi" w:hAnsiTheme="majorHAnsi" w:cstheme="majorHAnsi"/>
          <w:sz w:val="22"/>
          <w:szCs w:val="22"/>
        </w:rPr>
        <w:t xml:space="preserve">this is a </w:t>
      </w:r>
      <w:r>
        <w:rPr>
          <w:rFonts w:asciiTheme="majorHAnsi" w:hAnsiTheme="majorHAnsi" w:cstheme="majorHAnsi"/>
          <w:sz w:val="22"/>
          <w:szCs w:val="22"/>
        </w:rPr>
        <w:t>missed opportunity.</w:t>
      </w:r>
      <w:r w:rsidR="00395846">
        <w:rPr>
          <w:rFonts w:asciiTheme="majorHAnsi" w:hAnsiTheme="majorHAnsi" w:cstheme="majorHAnsi"/>
          <w:sz w:val="22"/>
          <w:szCs w:val="22"/>
        </w:rPr>
        <w:t xml:space="preserve"> (See comments on transparency above.)</w:t>
      </w:r>
    </w:p>
    <w:p w14:paraId="255C823C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8FCF310" w14:textId="42E0EF14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1.13 </w:t>
      </w:r>
      <w:r w:rsidR="00395846">
        <w:rPr>
          <w:rFonts w:asciiTheme="majorHAnsi" w:hAnsiTheme="majorHAnsi" w:cstheme="majorHAnsi"/>
          <w:sz w:val="22"/>
          <w:szCs w:val="22"/>
        </w:rPr>
        <w:t>The m</w:t>
      </w:r>
      <w:r w:rsidRPr="007B4337">
        <w:rPr>
          <w:rFonts w:asciiTheme="majorHAnsi" w:hAnsiTheme="majorHAnsi" w:cstheme="majorHAnsi"/>
          <w:sz w:val="22"/>
          <w:szCs w:val="22"/>
        </w:rPr>
        <w:t>ethodology will be implemented from Jan 2023</w:t>
      </w:r>
      <w:r w:rsidR="00395846">
        <w:rPr>
          <w:rFonts w:asciiTheme="majorHAnsi" w:hAnsiTheme="majorHAnsi" w:cstheme="majorHAnsi"/>
          <w:sz w:val="22"/>
          <w:szCs w:val="22"/>
        </w:rPr>
        <w:t xml:space="preserve"> and w</w:t>
      </w:r>
      <w:r w:rsidRPr="007B4337">
        <w:rPr>
          <w:rFonts w:asciiTheme="majorHAnsi" w:hAnsiTheme="majorHAnsi" w:cstheme="majorHAnsi"/>
          <w:sz w:val="22"/>
          <w:szCs w:val="22"/>
        </w:rPr>
        <w:t>ill only apply to new investments</w:t>
      </w:r>
      <w:r w:rsidR="0039584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395846">
        <w:rPr>
          <w:rFonts w:asciiTheme="majorHAnsi" w:hAnsiTheme="majorHAnsi" w:cstheme="majorHAnsi"/>
          <w:sz w:val="22"/>
          <w:szCs w:val="22"/>
        </w:rPr>
        <w:t>T</w:t>
      </w:r>
      <w:r>
        <w:rPr>
          <w:rFonts w:asciiTheme="majorHAnsi" w:hAnsiTheme="majorHAnsi" w:cstheme="majorHAnsi"/>
          <w:sz w:val="22"/>
          <w:szCs w:val="22"/>
        </w:rPr>
        <w:t>his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means that the rest of the FI portfolio – which totals billions of </w:t>
      </w:r>
      <w:r w:rsidR="00395846">
        <w:rPr>
          <w:rFonts w:asciiTheme="majorHAnsi" w:hAnsiTheme="majorHAnsi" w:cstheme="majorHAnsi"/>
          <w:sz w:val="22"/>
          <w:szCs w:val="22"/>
        </w:rPr>
        <w:t>euros</w:t>
      </w:r>
      <w:r>
        <w:rPr>
          <w:rFonts w:asciiTheme="majorHAnsi" w:hAnsiTheme="majorHAnsi" w:cstheme="majorHAnsi"/>
          <w:sz w:val="22"/>
          <w:szCs w:val="22"/>
        </w:rPr>
        <w:t xml:space="preserve"> - will not be aligned. </w:t>
      </w:r>
      <w:proofErr w:type="gramStart"/>
      <w:r w:rsidR="00395846">
        <w:rPr>
          <w:rFonts w:asciiTheme="majorHAnsi" w:hAnsiTheme="majorHAnsi" w:cstheme="majorHAnsi"/>
          <w:sz w:val="22"/>
          <w:szCs w:val="22"/>
        </w:rPr>
        <w:t xml:space="preserve">It is clear that 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>the</w:t>
      </w:r>
      <w:proofErr w:type="gramEnd"/>
      <w:r w:rsidRPr="00395846">
        <w:rPr>
          <w:rFonts w:asciiTheme="majorHAnsi" w:hAnsiTheme="majorHAnsi" w:cstheme="majorHAnsi"/>
          <w:b/>
          <w:bCs/>
          <w:sz w:val="22"/>
          <w:szCs w:val="22"/>
        </w:rPr>
        <w:t xml:space="preserve"> EBRD will NOT align all its investments by end 2022</w:t>
      </w:r>
      <w:r>
        <w:rPr>
          <w:rFonts w:asciiTheme="majorHAnsi" w:hAnsiTheme="majorHAnsi" w:cstheme="majorHAnsi"/>
          <w:sz w:val="22"/>
          <w:szCs w:val="22"/>
        </w:rPr>
        <w:t>.</w:t>
      </w:r>
      <w:r w:rsidR="00395846">
        <w:rPr>
          <w:rFonts w:asciiTheme="majorHAnsi" w:hAnsiTheme="majorHAnsi" w:cstheme="majorHAnsi"/>
          <w:sz w:val="22"/>
          <w:szCs w:val="22"/>
        </w:rPr>
        <w:t xml:space="preserve"> The EBRD states that 80% of its existing FI clients will get repeat business with EBRD and when new investments occur, the Paris alignment methodology will be applied. This is not sufficient. The 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>EBRD must set out a strategy to address its existing FI portfolio</w:t>
      </w:r>
      <w:r w:rsidR="00395846">
        <w:rPr>
          <w:rFonts w:asciiTheme="majorHAnsi" w:hAnsiTheme="majorHAnsi" w:cstheme="majorHAnsi"/>
          <w:sz w:val="22"/>
          <w:szCs w:val="22"/>
        </w:rPr>
        <w:t xml:space="preserve"> as soon as possible. For example, the IFC has set out its </w:t>
      </w:r>
      <w:hyperlink r:id="rId18" w:history="1">
        <w:r w:rsidR="00395846" w:rsidRPr="00395846">
          <w:rPr>
            <w:rStyle w:val="Hyperlink"/>
            <w:rFonts w:asciiTheme="majorHAnsi" w:hAnsiTheme="majorHAnsi" w:cstheme="majorHAnsi"/>
            <w:sz w:val="22"/>
            <w:szCs w:val="22"/>
          </w:rPr>
          <w:t>Greening Equity Approach</w:t>
        </w:r>
      </w:hyperlink>
      <w:r w:rsidR="00395846">
        <w:rPr>
          <w:rFonts w:asciiTheme="majorHAnsi" w:hAnsiTheme="majorHAnsi" w:cstheme="majorHAnsi"/>
          <w:sz w:val="22"/>
          <w:szCs w:val="22"/>
        </w:rPr>
        <w:t xml:space="preserve"> which applies to existing equity clients.</w:t>
      </w:r>
    </w:p>
    <w:p w14:paraId="4B05A0A7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1F0F977" w14:textId="6A5F8898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1.15: Accountability: “[the methodology’s] application is independently verified by the Bank’s “second line of defence” under the purview of the Chief Risk Officer.” </w:t>
      </w:r>
      <w:r w:rsidR="00395846">
        <w:rPr>
          <w:rFonts w:asciiTheme="majorHAnsi" w:hAnsiTheme="majorHAnsi" w:cstheme="majorHAnsi"/>
          <w:sz w:val="22"/>
          <w:szCs w:val="22"/>
        </w:rPr>
        <w:t xml:space="preserve">It is vital that the methodology be subject to 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>open and transparen</w:t>
      </w:r>
      <w:r w:rsidR="00893AF6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="00395846" w:rsidRPr="00395846">
        <w:rPr>
          <w:rFonts w:asciiTheme="majorHAnsi" w:hAnsiTheme="majorHAnsi" w:cstheme="majorHAnsi"/>
          <w:b/>
          <w:bCs/>
          <w:sz w:val="22"/>
          <w:szCs w:val="22"/>
        </w:rPr>
        <w:t xml:space="preserve"> evaluation</w:t>
      </w:r>
      <w:r w:rsidR="00395846">
        <w:rPr>
          <w:rFonts w:asciiTheme="majorHAnsi" w:hAnsiTheme="majorHAnsi" w:cstheme="majorHAnsi"/>
          <w:sz w:val="22"/>
          <w:szCs w:val="22"/>
        </w:rPr>
        <w:t>, not solely in-house, to ensure it is delivering with the ambition and urgency required.</w:t>
      </w:r>
    </w:p>
    <w:p w14:paraId="049F190F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ED389AA" w14:textId="0DB92C86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1.18: </w:t>
      </w:r>
      <w:r w:rsidR="00395846">
        <w:rPr>
          <w:rFonts w:asciiTheme="majorHAnsi" w:hAnsiTheme="majorHAnsi" w:cstheme="majorHAnsi"/>
          <w:sz w:val="22"/>
          <w:szCs w:val="22"/>
        </w:rPr>
        <w:t xml:space="preserve">The </w:t>
      </w:r>
      <w:r w:rsidRPr="007B4337">
        <w:rPr>
          <w:rFonts w:asciiTheme="majorHAnsi" w:hAnsiTheme="majorHAnsi" w:cstheme="majorHAnsi"/>
          <w:sz w:val="22"/>
          <w:szCs w:val="22"/>
        </w:rPr>
        <w:t xml:space="preserve">EBRD will apply a Paris alignment filter to </w:t>
      </w:r>
      <w:r w:rsidRPr="005C16D0">
        <w:rPr>
          <w:rFonts w:asciiTheme="majorHAnsi" w:hAnsiTheme="majorHAnsi" w:cstheme="majorHAnsi"/>
          <w:i/>
          <w:iCs/>
          <w:sz w:val="22"/>
          <w:szCs w:val="22"/>
        </w:rPr>
        <w:t>some debt investments</w:t>
      </w:r>
      <w:r w:rsidRPr="007B4337">
        <w:rPr>
          <w:rFonts w:asciiTheme="majorHAnsi" w:hAnsiTheme="majorHAnsi" w:cstheme="majorHAnsi"/>
          <w:sz w:val="22"/>
          <w:szCs w:val="22"/>
        </w:rPr>
        <w:t xml:space="preserve"> (pillar two). For equity and </w:t>
      </w:r>
      <w:proofErr w:type="gramStart"/>
      <w:r w:rsidRPr="007B4337">
        <w:rPr>
          <w:rFonts w:asciiTheme="majorHAnsi" w:hAnsiTheme="majorHAnsi" w:cstheme="majorHAnsi"/>
          <w:sz w:val="22"/>
          <w:szCs w:val="22"/>
        </w:rPr>
        <w:t>general purpose</w:t>
      </w:r>
      <w:proofErr w:type="gramEnd"/>
      <w:r w:rsidRPr="007B4337">
        <w:rPr>
          <w:rFonts w:asciiTheme="majorHAnsi" w:hAnsiTheme="majorHAnsi" w:cstheme="majorHAnsi"/>
          <w:sz w:val="22"/>
          <w:szCs w:val="22"/>
        </w:rPr>
        <w:t xml:space="preserve"> liquidity (</w:t>
      </w:r>
      <w:proofErr w:type="spellStart"/>
      <w:r w:rsidRPr="007B4337">
        <w:rPr>
          <w:rFonts w:asciiTheme="majorHAnsi" w:hAnsiTheme="majorHAnsi" w:cstheme="majorHAnsi"/>
          <w:sz w:val="22"/>
          <w:szCs w:val="22"/>
        </w:rPr>
        <w:t>ie</w:t>
      </w:r>
      <w:proofErr w:type="spellEnd"/>
      <w:r w:rsidRPr="007B4337">
        <w:rPr>
          <w:rFonts w:asciiTheme="majorHAnsi" w:hAnsiTheme="majorHAnsi" w:cstheme="majorHAnsi"/>
          <w:sz w:val="22"/>
          <w:szCs w:val="22"/>
        </w:rPr>
        <w:t xml:space="preserve"> those investments which expose </w:t>
      </w:r>
      <w:r w:rsidR="00395846">
        <w:rPr>
          <w:rFonts w:asciiTheme="majorHAnsi" w:hAnsiTheme="majorHAnsi" w:cstheme="majorHAnsi"/>
          <w:sz w:val="22"/>
          <w:szCs w:val="22"/>
        </w:rPr>
        <w:t xml:space="preserve">the </w:t>
      </w:r>
      <w:r w:rsidRPr="007B4337">
        <w:rPr>
          <w:rFonts w:asciiTheme="majorHAnsi" w:hAnsiTheme="majorHAnsi" w:cstheme="majorHAnsi"/>
          <w:sz w:val="22"/>
          <w:szCs w:val="22"/>
        </w:rPr>
        <w:t xml:space="preserve">EBRD to the FI’s entire portfolio) “pillars 3 and 4 will be prioritised and form the basis of alignment determination.” </w:t>
      </w:r>
      <w:r w:rsidR="00395846" w:rsidRPr="009314E4">
        <w:rPr>
          <w:rFonts w:asciiTheme="majorHAnsi" w:hAnsiTheme="majorHAnsi" w:cstheme="majorHAnsi"/>
          <w:b/>
          <w:bCs/>
          <w:sz w:val="22"/>
          <w:szCs w:val="22"/>
        </w:rPr>
        <w:t xml:space="preserve">Pillar 2 should also apply to </w:t>
      </w:r>
      <w:r w:rsidR="009314E4" w:rsidRPr="009314E4">
        <w:rPr>
          <w:rFonts w:asciiTheme="majorHAnsi" w:hAnsiTheme="majorHAnsi" w:cstheme="majorHAnsi"/>
          <w:b/>
          <w:bCs/>
          <w:sz w:val="22"/>
          <w:szCs w:val="22"/>
        </w:rPr>
        <w:t>equity clients and to general purpose debt clients</w:t>
      </w:r>
      <w:r w:rsidR="009314E4">
        <w:rPr>
          <w:rFonts w:asciiTheme="majorHAnsi" w:hAnsiTheme="majorHAnsi" w:cstheme="majorHAnsi"/>
          <w:sz w:val="22"/>
          <w:szCs w:val="22"/>
        </w:rPr>
        <w:t xml:space="preserve"> – to ensure all EBRD FI sub projects align with </w:t>
      </w:r>
      <w:r w:rsidR="00893AF6">
        <w:rPr>
          <w:rFonts w:asciiTheme="majorHAnsi" w:hAnsiTheme="majorHAnsi" w:cstheme="majorHAnsi"/>
          <w:sz w:val="22"/>
          <w:szCs w:val="22"/>
        </w:rPr>
        <w:t xml:space="preserve">the </w:t>
      </w:r>
      <w:r w:rsidR="009314E4">
        <w:rPr>
          <w:rFonts w:asciiTheme="majorHAnsi" w:hAnsiTheme="majorHAnsi" w:cstheme="majorHAnsi"/>
          <w:sz w:val="22"/>
          <w:szCs w:val="22"/>
        </w:rPr>
        <w:t>Paris</w:t>
      </w:r>
      <w:r w:rsidR="00893AF6">
        <w:rPr>
          <w:rFonts w:asciiTheme="majorHAnsi" w:hAnsiTheme="majorHAnsi" w:cstheme="majorHAnsi"/>
          <w:sz w:val="22"/>
          <w:szCs w:val="22"/>
        </w:rPr>
        <w:t xml:space="preserve"> Agreement</w:t>
      </w:r>
      <w:r w:rsidR="009314E4">
        <w:rPr>
          <w:rFonts w:asciiTheme="majorHAnsi" w:hAnsiTheme="majorHAnsi" w:cstheme="majorHAnsi"/>
          <w:sz w:val="22"/>
          <w:szCs w:val="22"/>
        </w:rPr>
        <w:t xml:space="preserve">. There is no reason why equity investments – where the EBRD </w:t>
      </w:r>
      <w:proofErr w:type="gramStart"/>
      <w:r w:rsidR="009314E4">
        <w:rPr>
          <w:rFonts w:asciiTheme="majorHAnsi" w:hAnsiTheme="majorHAnsi" w:cstheme="majorHAnsi"/>
          <w:sz w:val="22"/>
          <w:szCs w:val="22"/>
        </w:rPr>
        <w:t>actually takes</w:t>
      </w:r>
      <w:proofErr w:type="gramEnd"/>
      <w:r w:rsidR="009314E4">
        <w:rPr>
          <w:rFonts w:asciiTheme="majorHAnsi" w:hAnsiTheme="majorHAnsi" w:cstheme="majorHAnsi"/>
          <w:sz w:val="22"/>
          <w:szCs w:val="22"/>
        </w:rPr>
        <w:t xml:space="preserve"> a share in an FI client – should be exempted from the requirements of Pillar 2.</w:t>
      </w:r>
    </w:p>
    <w:p w14:paraId="545520FD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0DF68C5" w14:textId="3C1F215D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This </w:t>
      </w:r>
      <w:r w:rsidR="009314E4">
        <w:rPr>
          <w:rFonts w:asciiTheme="majorHAnsi" w:hAnsiTheme="majorHAnsi" w:cstheme="majorHAnsi"/>
          <w:sz w:val="22"/>
          <w:szCs w:val="22"/>
        </w:rPr>
        <w:t>exemption</w:t>
      </w:r>
      <w:r w:rsidRPr="007B4337">
        <w:rPr>
          <w:rFonts w:asciiTheme="majorHAnsi" w:hAnsiTheme="majorHAnsi" w:cstheme="majorHAnsi"/>
          <w:sz w:val="22"/>
          <w:szCs w:val="22"/>
        </w:rPr>
        <w:t xml:space="preserve"> undermines the whole principle of green equity – using the leverage equity investments give to have influence over the entire portfolio. </w:t>
      </w:r>
      <w:r w:rsidR="009314E4" w:rsidRPr="009314E4">
        <w:rPr>
          <w:rFonts w:asciiTheme="majorHAnsi" w:hAnsiTheme="majorHAnsi" w:cstheme="majorHAnsi"/>
          <w:b/>
          <w:bCs/>
          <w:sz w:val="22"/>
          <w:szCs w:val="22"/>
        </w:rPr>
        <w:t>T</w:t>
      </w:r>
      <w:r w:rsidRPr="009314E4">
        <w:rPr>
          <w:rFonts w:asciiTheme="majorHAnsi" w:hAnsiTheme="majorHAnsi" w:cstheme="majorHAnsi"/>
          <w:b/>
          <w:bCs/>
          <w:sz w:val="22"/>
          <w:szCs w:val="22"/>
        </w:rPr>
        <w:t xml:space="preserve">he EBRD </w:t>
      </w:r>
      <w:r w:rsidR="009314E4" w:rsidRPr="009314E4">
        <w:rPr>
          <w:rFonts w:asciiTheme="majorHAnsi" w:hAnsiTheme="majorHAnsi" w:cstheme="majorHAnsi"/>
          <w:b/>
          <w:bCs/>
          <w:sz w:val="22"/>
          <w:szCs w:val="22"/>
        </w:rPr>
        <w:t xml:space="preserve">could </w:t>
      </w:r>
      <w:r w:rsidRPr="009314E4">
        <w:rPr>
          <w:rFonts w:asciiTheme="majorHAnsi" w:hAnsiTheme="majorHAnsi" w:cstheme="majorHAnsi"/>
          <w:b/>
          <w:bCs/>
          <w:sz w:val="22"/>
          <w:szCs w:val="22"/>
        </w:rPr>
        <w:t>use a similar approach</w:t>
      </w:r>
      <w:r w:rsidR="009314E4" w:rsidRPr="009314E4">
        <w:rPr>
          <w:rFonts w:asciiTheme="majorHAnsi" w:hAnsiTheme="majorHAnsi" w:cstheme="majorHAnsi"/>
          <w:b/>
          <w:bCs/>
          <w:sz w:val="22"/>
          <w:szCs w:val="22"/>
        </w:rPr>
        <w:t xml:space="preserve"> to IFC’s coal exclusion in equity investments, </w:t>
      </w:r>
      <w:r w:rsidRPr="009314E4">
        <w:rPr>
          <w:rFonts w:asciiTheme="majorHAnsi" w:hAnsiTheme="majorHAnsi" w:cstheme="majorHAnsi"/>
          <w:b/>
          <w:bCs/>
          <w:sz w:val="22"/>
          <w:szCs w:val="22"/>
        </w:rPr>
        <w:t>using EBRD’s much stronger fossil fuel exclusion language</w:t>
      </w:r>
      <w:r w:rsidR="009314E4">
        <w:rPr>
          <w:rFonts w:asciiTheme="majorHAnsi" w:hAnsiTheme="majorHAnsi" w:cstheme="majorHAnsi"/>
          <w:sz w:val="22"/>
          <w:szCs w:val="22"/>
        </w:rPr>
        <w:t>.</w:t>
      </w:r>
    </w:p>
    <w:p w14:paraId="54B12BEF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BEF5C2C" w14:textId="6E081139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>1.19 “where sub-transaction alignment is less clear or not possible, the focus on institutional transformation will be introduced immediately.” What does less clear or not possible mean? Does this excuse EBRD-backed sub projects from being Paris aligned?</w:t>
      </w:r>
      <w:r w:rsidR="009314E4">
        <w:rPr>
          <w:rFonts w:asciiTheme="majorHAnsi" w:hAnsiTheme="majorHAnsi" w:cstheme="majorHAnsi"/>
          <w:sz w:val="22"/>
          <w:szCs w:val="22"/>
        </w:rPr>
        <w:t xml:space="preserve"> </w:t>
      </w:r>
      <w:r w:rsidR="009314E4" w:rsidRPr="009314E4">
        <w:rPr>
          <w:rFonts w:asciiTheme="majorHAnsi" w:hAnsiTheme="majorHAnsi" w:cstheme="majorHAnsi"/>
          <w:b/>
          <w:bCs/>
          <w:sz w:val="22"/>
          <w:szCs w:val="22"/>
        </w:rPr>
        <w:t>This is a get-out clause</w:t>
      </w:r>
      <w:r w:rsidR="009314E4">
        <w:rPr>
          <w:rFonts w:asciiTheme="majorHAnsi" w:hAnsiTheme="majorHAnsi" w:cstheme="majorHAnsi"/>
          <w:sz w:val="22"/>
          <w:szCs w:val="22"/>
        </w:rPr>
        <w:t>, which threatens to undermine the EBRD’s pledge to be Paris aligned and should be removed.</w:t>
      </w:r>
    </w:p>
    <w:p w14:paraId="18AFD07D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BDE1059" w14:textId="29FFD2CF" w:rsidR="0037499C" w:rsidRPr="009314E4" w:rsidRDefault="0037499C" w:rsidP="0037499C">
      <w:pPr>
        <w:pStyle w:val="Default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1.20 </w:t>
      </w:r>
      <w:r w:rsidR="009314E4">
        <w:rPr>
          <w:rFonts w:asciiTheme="majorHAnsi" w:hAnsiTheme="majorHAnsi" w:cstheme="majorHAnsi"/>
          <w:sz w:val="22"/>
          <w:szCs w:val="22"/>
        </w:rPr>
        <w:t>A</w:t>
      </w:r>
      <w:r w:rsidRPr="007B4337">
        <w:rPr>
          <w:rFonts w:asciiTheme="majorHAnsi" w:hAnsiTheme="majorHAnsi" w:cstheme="majorHAnsi"/>
          <w:sz w:val="22"/>
          <w:szCs w:val="22"/>
        </w:rPr>
        <w:t xml:space="preserve">lthough the methodology will be launched in 2023, </w:t>
      </w:r>
      <w:r w:rsidR="009314E4">
        <w:rPr>
          <w:rFonts w:asciiTheme="majorHAnsi" w:hAnsiTheme="majorHAnsi" w:cstheme="majorHAnsi"/>
          <w:sz w:val="22"/>
          <w:szCs w:val="22"/>
        </w:rPr>
        <w:t xml:space="preserve">it appears that </w:t>
      </w:r>
      <w:r w:rsidRPr="007B4337">
        <w:rPr>
          <w:rFonts w:asciiTheme="majorHAnsi" w:hAnsiTheme="majorHAnsi" w:cstheme="majorHAnsi"/>
          <w:sz w:val="22"/>
          <w:szCs w:val="22"/>
        </w:rPr>
        <w:t xml:space="preserve">alignment through pillars three and four won’t happen </w:t>
      </w:r>
      <w:r w:rsidR="00893AF6">
        <w:rPr>
          <w:rFonts w:asciiTheme="majorHAnsi" w:hAnsiTheme="majorHAnsi" w:cstheme="majorHAnsi"/>
          <w:sz w:val="22"/>
          <w:szCs w:val="22"/>
        </w:rPr>
        <w:t>until</w:t>
      </w:r>
      <w:r w:rsidRPr="007B4337">
        <w:rPr>
          <w:rFonts w:asciiTheme="majorHAnsi" w:hAnsiTheme="majorHAnsi" w:cstheme="majorHAnsi"/>
          <w:sz w:val="22"/>
          <w:szCs w:val="22"/>
        </w:rPr>
        <w:t xml:space="preserve"> 2027</w:t>
      </w:r>
      <w:r w:rsidR="009314E4">
        <w:rPr>
          <w:rFonts w:asciiTheme="majorHAnsi" w:hAnsiTheme="majorHAnsi" w:cstheme="majorHAnsi"/>
          <w:sz w:val="22"/>
          <w:szCs w:val="22"/>
        </w:rPr>
        <w:t xml:space="preserve">. </w:t>
      </w:r>
      <w:r w:rsidR="009314E4" w:rsidRPr="009314E4">
        <w:rPr>
          <w:rFonts w:asciiTheme="majorHAnsi" w:hAnsiTheme="majorHAnsi" w:cstheme="majorHAnsi"/>
          <w:b/>
          <w:bCs/>
          <w:sz w:val="22"/>
          <w:szCs w:val="22"/>
        </w:rPr>
        <w:t>The EBRD should set a much clearer and more ambitious timeline.</w:t>
      </w:r>
    </w:p>
    <w:p w14:paraId="0125DE02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4C2A4A1" w14:textId="0939C2EC" w:rsidR="0037499C" w:rsidRPr="00F73E08" w:rsidRDefault="0037499C" w:rsidP="0037499C">
      <w:pPr>
        <w:pStyle w:val="Default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lastRenderedPageBreak/>
        <w:t>1.22 The Paris alignment plan (pillar four) will be different for each FI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7B4337">
        <w:rPr>
          <w:rFonts w:asciiTheme="majorHAnsi" w:hAnsiTheme="majorHAnsi" w:cstheme="majorHAnsi"/>
          <w:sz w:val="22"/>
          <w:szCs w:val="22"/>
        </w:rPr>
        <w:t xml:space="preserve"> not standard – to account for differences in regulations, climate practices etc</w:t>
      </w:r>
      <w:r w:rsidR="009314E4">
        <w:rPr>
          <w:rFonts w:asciiTheme="majorHAnsi" w:hAnsiTheme="majorHAnsi" w:cstheme="majorHAnsi"/>
          <w:sz w:val="22"/>
          <w:szCs w:val="22"/>
        </w:rPr>
        <w:t>.</w:t>
      </w:r>
      <w:r w:rsidRPr="007B4337">
        <w:rPr>
          <w:rFonts w:asciiTheme="majorHAnsi" w:hAnsiTheme="majorHAnsi" w:cstheme="majorHAnsi"/>
          <w:sz w:val="22"/>
          <w:szCs w:val="22"/>
        </w:rPr>
        <w:t xml:space="preserve"> This </w:t>
      </w:r>
      <w:r w:rsidR="009314E4">
        <w:rPr>
          <w:rFonts w:asciiTheme="majorHAnsi" w:hAnsiTheme="majorHAnsi" w:cstheme="majorHAnsi"/>
          <w:sz w:val="22"/>
          <w:szCs w:val="22"/>
        </w:rPr>
        <w:t>could lead to there being</w:t>
      </w:r>
      <w:r w:rsidRPr="007B4337">
        <w:rPr>
          <w:rFonts w:asciiTheme="majorHAnsi" w:hAnsiTheme="majorHAnsi" w:cstheme="majorHAnsi"/>
          <w:sz w:val="22"/>
          <w:szCs w:val="22"/>
        </w:rPr>
        <w:t xml:space="preserve"> loopholes</w:t>
      </w:r>
      <w:r w:rsidR="009314E4">
        <w:rPr>
          <w:rFonts w:asciiTheme="majorHAnsi" w:hAnsiTheme="majorHAnsi" w:cstheme="majorHAnsi"/>
          <w:sz w:val="22"/>
          <w:szCs w:val="22"/>
        </w:rPr>
        <w:t xml:space="preserve"> which FI clients can exploit</w:t>
      </w:r>
      <w:r w:rsidRPr="007B4337">
        <w:rPr>
          <w:rFonts w:asciiTheme="majorHAnsi" w:hAnsiTheme="majorHAnsi" w:cstheme="majorHAnsi"/>
          <w:sz w:val="22"/>
          <w:szCs w:val="22"/>
        </w:rPr>
        <w:t xml:space="preserve">. </w:t>
      </w:r>
      <w:r w:rsidR="006F1A9D">
        <w:rPr>
          <w:rFonts w:asciiTheme="majorHAnsi" w:hAnsiTheme="majorHAnsi" w:cstheme="majorHAnsi"/>
          <w:sz w:val="22"/>
          <w:szCs w:val="22"/>
        </w:rPr>
        <w:t xml:space="preserve">It is imperative that the EBRD set out </w:t>
      </w:r>
      <w:r w:rsidR="006F1A9D" w:rsidRPr="006F1A9D">
        <w:rPr>
          <w:rFonts w:asciiTheme="majorHAnsi" w:hAnsiTheme="majorHAnsi" w:cstheme="majorHAnsi"/>
          <w:b/>
          <w:bCs/>
          <w:sz w:val="22"/>
          <w:szCs w:val="22"/>
        </w:rPr>
        <w:t>clear baseline</w:t>
      </w:r>
      <w:r w:rsidRPr="006F1A9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F1A9D" w:rsidRPr="006F1A9D">
        <w:rPr>
          <w:rFonts w:asciiTheme="majorHAnsi" w:hAnsiTheme="majorHAnsi" w:cstheme="majorHAnsi"/>
          <w:b/>
          <w:bCs/>
          <w:sz w:val="22"/>
          <w:szCs w:val="22"/>
        </w:rPr>
        <w:t>requirements that apply to all FI clients</w:t>
      </w:r>
      <w:r w:rsidR="006F1A9D">
        <w:rPr>
          <w:rFonts w:asciiTheme="majorHAnsi" w:hAnsiTheme="majorHAnsi" w:cstheme="majorHAnsi"/>
          <w:sz w:val="22"/>
          <w:szCs w:val="22"/>
        </w:rPr>
        <w:t>.</w:t>
      </w:r>
      <w:r w:rsidR="0027504E">
        <w:rPr>
          <w:rFonts w:asciiTheme="majorHAnsi" w:hAnsiTheme="majorHAnsi" w:cstheme="majorHAnsi"/>
          <w:sz w:val="22"/>
          <w:szCs w:val="22"/>
        </w:rPr>
        <w:t xml:space="preserve"> </w:t>
      </w:r>
      <w:r w:rsidR="0027504E" w:rsidRPr="00F73E08">
        <w:rPr>
          <w:rFonts w:asciiTheme="majorHAnsi" w:hAnsiTheme="majorHAnsi" w:cstheme="majorHAnsi"/>
          <w:sz w:val="22"/>
          <w:szCs w:val="22"/>
        </w:rPr>
        <w:t xml:space="preserve">The methodology must also clearly state what </w:t>
      </w:r>
      <w:r w:rsidR="0027504E" w:rsidRPr="0027504E">
        <w:rPr>
          <w:rFonts w:asciiTheme="majorHAnsi" w:hAnsiTheme="majorHAnsi" w:cstheme="majorHAnsi"/>
          <w:b/>
          <w:bCs/>
          <w:sz w:val="22"/>
          <w:szCs w:val="22"/>
        </w:rPr>
        <w:t>penalties</w:t>
      </w:r>
      <w:r w:rsidR="0027504E" w:rsidRPr="00F73E08">
        <w:rPr>
          <w:rFonts w:asciiTheme="majorHAnsi" w:hAnsiTheme="majorHAnsi" w:cstheme="majorHAnsi"/>
          <w:sz w:val="22"/>
          <w:szCs w:val="22"/>
        </w:rPr>
        <w:t xml:space="preserve"> it will apply in cases where FIs do not meet its requirements for Paris alignment.</w:t>
      </w:r>
    </w:p>
    <w:p w14:paraId="4925C278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5E467A2" w14:textId="6C2DC221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2.9 Pillar 3 evaluates the FI’s climate action against “leading market and regulatory practice”. </w:t>
      </w:r>
      <w:r w:rsidR="006F1A9D">
        <w:rPr>
          <w:rFonts w:asciiTheme="majorHAnsi" w:hAnsiTheme="majorHAnsi" w:cstheme="majorHAnsi"/>
          <w:sz w:val="22"/>
          <w:szCs w:val="22"/>
        </w:rPr>
        <w:t xml:space="preserve">This is the wrong metric and will not ensure </w:t>
      </w:r>
      <w:r w:rsidR="00F604DC">
        <w:rPr>
          <w:rFonts w:asciiTheme="majorHAnsi" w:hAnsiTheme="majorHAnsi" w:cstheme="majorHAnsi"/>
          <w:sz w:val="22"/>
          <w:szCs w:val="22"/>
        </w:rPr>
        <w:t xml:space="preserve">the </w:t>
      </w:r>
      <w:r w:rsidR="006F1A9D">
        <w:rPr>
          <w:rFonts w:asciiTheme="majorHAnsi" w:hAnsiTheme="majorHAnsi" w:cstheme="majorHAnsi"/>
          <w:sz w:val="22"/>
          <w:szCs w:val="22"/>
        </w:rPr>
        <w:t>urgent action</w:t>
      </w:r>
      <w:r w:rsidR="00F604DC">
        <w:rPr>
          <w:rFonts w:asciiTheme="majorHAnsi" w:hAnsiTheme="majorHAnsi" w:cstheme="majorHAnsi"/>
          <w:sz w:val="22"/>
          <w:szCs w:val="22"/>
        </w:rPr>
        <w:t xml:space="preserve"> required</w:t>
      </w:r>
      <w:r w:rsidR="006F1A9D">
        <w:rPr>
          <w:rFonts w:asciiTheme="majorHAnsi" w:hAnsiTheme="majorHAnsi" w:cstheme="majorHAnsi"/>
          <w:sz w:val="22"/>
          <w:szCs w:val="22"/>
        </w:rPr>
        <w:t xml:space="preserve"> to avert runaway climate change. </w:t>
      </w:r>
      <w:r w:rsidR="006F1A9D" w:rsidRPr="006F1A9D">
        <w:rPr>
          <w:rFonts w:asciiTheme="majorHAnsi" w:hAnsiTheme="majorHAnsi" w:cstheme="majorHAnsi"/>
          <w:b/>
          <w:bCs/>
          <w:sz w:val="22"/>
          <w:szCs w:val="22"/>
        </w:rPr>
        <w:t xml:space="preserve">The EBRD must ensure FIs’ climate action is measured against what </w:t>
      </w:r>
      <w:r w:rsidR="00F604DC">
        <w:rPr>
          <w:rFonts w:asciiTheme="majorHAnsi" w:hAnsiTheme="majorHAnsi" w:cstheme="majorHAnsi"/>
          <w:b/>
          <w:bCs/>
          <w:sz w:val="22"/>
          <w:szCs w:val="22"/>
        </w:rPr>
        <w:t xml:space="preserve">averting </w:t>
      </w:r>
      <w:r w:rsidR="006F1A9D" w:rsidRPr="006F1A9D">
        <w:rPr>
          <w:rFonts w:asciiTheme="majorHAnsi" w:hAnsiTheme="majorHAnsi" w:cstheme="majorHAnsi"/>
          <w:b/>
          <w:bCs/>
          <w:sz w:val="22"/>
          <w:szCs w:val="22"/>
        </w:rPr>
        <w:t>the climate crisis requires</w:t>
      </w:r>
      <w:r w:rsidR="006F1A9D">
        <w:rPr>
          <w:rFonts w:asciiTheme="majorHAnsi" w:hAnsiTheme="majorHAnsi" w:cstheme="majorHAnsi"/>
          <w:sz w:val="22"/>
          <w:szCs w:val="22"/>
        </w:rPr>
        <w:t>.</w:t>
      </w:r>
    </w:p>
    <w:p w14:paraId="266865B4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E12788B" w14:textId="352F92ED" w:rsidR="0037499C" w:rsidRPr="006F1A9D" w:rsidRDefault="0037499C" w:rsidP="0037499C">
      <w:pPr>
        <w:pStyle w:val="Default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2.11 </w:t>
      </w:r>
      <w:r w:rsidR="006F1A9D">
        <w:rPr>
          <w:rFonts w:asciiTheme="majorHAnsi" w:hAnsiTheme="majorHAnsi" w:cstheme="majorHAnsi"/>
          <w:sz w:val="22"/>
          <w:szCs w:val="22"/>
        </w:rPr>
        <w:t>T</w:t>
      </w:r>
      <w:r w:rsidRPr="007B4337">
        <w:rPr>
          <w:rFonts w:asciiTheme="majorHAnsi" w:hAnsiTheme="majorHAnsi" w:cstheme="majorHAnsi"/>
          <w:sz w:val="22"/>
          <w:szCs w:val="22"/>
        </w:rPr>
        <w:t xml:space="preserve">he pillar 1 commitment “it is a commitment, in the context of the EBRD methodological application, to </w:t>
      </w:r>
      <w:r w:rsidRPr="006F1A9D">
        <w:rPr>
          <w:rFonts w:asciiTheme="majorHAnsi" w:hAnsiTheme="majorHAnsi" w:cstheme="majorHAnsi"/>
          <w:sz w:val="22"/>
          <w:szCs w:val="22"/>
        </w:rPr>
        <w:t xml:space="preserve">move towards business practices that are consistent with the goals of the Paris Agreement </w:t>
      </w:r>
      <w:r w:rsidRPr="007B4337">
        <w:rPr>
          <w:rFonts w:asciiTheme="majorHAnsi" w:hAnsiTheme="majorHAnsi" w:cstheme="majorHAnsi"/>
          <w:sz w:val="22"/>
          <w:szCs w:val="22"/>
        </w:rPr>
        <w:t>and to work with the EBRD, partner MDBs, a development institution or an impact investor to implement that commitment.”</w:t>
      </w:r>
      <w:r w:rsidR="006F1A9D">
        <w:rPr>
          <w:rFonts w:asciiTheme="majorHAnsi" w:hAnsiTheme="majorHAnsi" w:cstheme="majorHAnsi"/>
          <w:sz w:val="22"/>
          <w:szCs w:val="22"/>
        </w:rPr>
        <w:t xml:space="preserve"> </w:t>
      </w:r>
      <w:r w:rsidR="006F1A9D" w:rsidRPr="006F1A9D">
        <w:rPr>
          <w:rFonts w:asciiTheme="majorHAnsi" w:hAnsiTheme="majorHAnsi" w:cstheme="majorHAnsi"/>
          <w:b/>
          <w:bCs/>
          <w:sz w:val="22"/>
          <w:szCs w:val="22"/>
        </w:rPr>
        <w:t>This fundamental commitment should be much clearer and timebound, giving targets and dates.</w:t>
      </w:r>
    </w:p>
    <w:p w14:paraId="51F80932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385A22D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</w:rPr>
      </w:pPr>
      <w:r w:rsidRPr="007B4337">
        <w:rPr>
          <w:rFonts w:asciiTheme="majorHAnsi" w:hAnsiTheme="majorHAnsi" w:cstheme="majorHAnsi"/>
          <w:sz w:val="22"/>
          <w:szCs w:val="22"/>
        </w:rPr>
        <w:t xml:space="preserve">2.14: </w:t>
      </w:r>
      <w:r w:rsidRPr="007B4337">
        <w:rPr>
          <w:rFonts w:asciiTheme="majorHAnsi" w:hAnsiTheme="majorHAnsi" w:cstheme="majorHAnsi"/>
          <w:b/>
          <w:bCs/>
          <w:sz w:val="22"/>
          <w:szCs w:val="22"/>
        </w:rPr>
        <w:t>Fossil fuel exclusions will apply to all FI transactions:</w:t>
      </w:r>
      <w:r w:rsidRPr="007B433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8AB581D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>“All EBRD intermediated financing, regardless of financial instrument, is subject to relevant Bank policies on fossil-fuel exclusion. The EBRD will not knowingly finance, directly or indirectly through financial intermediaries, projects where EBRD proceeds are used for activities relating to thermal coal mining, coal-fired electricity generation or upstream oil and gas.”</w:t>
      </w:r>
    </w:p>
    <w:p w14:paraId="50601A1D" w14:textId="5EFED883" w:rsidR="0037499C" w:rsidRPr="007B4337" w:rsidRDefault="006F1A9D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is welcome, but as many have pointed out, an exclusion for upstream oil and gas alone is not sufficient. </w:t>
      </w:r>
      <w:r w:rsidRPr="006F1A9D">
        <w:rPr>
          <w:rFonts w:asciiTheme="majorHAnsi" w:hAnsiTheme="majorHAnsi" w:cstheme="majorHAnsi"/>
          <w:b/>
          <w:bCs/>
          <w:sz w:val="22"/>
          <w:szCs w:val="22"/>
        </w:rPr>
        <w:t>The EBRD must exclude all fossil fuels and the infrastructure that supports them</w:t>
      </w:r>
      <w:r>
        <w:rPr>
          <w:rFonts w:asciiTheme="majorHAnsi" w:hAnsiTheme="majorHAnsi" w:cstheme="majorHAnsi"/>
          <w:sz w:val="22"/>
          <w:szCs w:val="22"/>
        </w:rPr>
        <w:t>, in common with the European Investment Bank.</w:t>
      </w:r>
    </w:p>
    <w:p w14:paraId="11D6B29D" w14:textId="77777777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48EEFF9" w14:textId="6CBD97C0" w:rsidR="0037499C" w:rsidRPr="007B4337" w:rsidRDefault="0037499C" w:rsidP="0037499C">
      <w:pPr>
        <w:pStyle w:val="Default"/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B4337">
        <w:rPr>
          <w:rFonts w:asciiTheme="majorHAnsi" w:hAnsiTheme="majorHAnsi" w:cstheme="majorHAnsi"/>
          <w:sz w:val="22"/>
          <w:szCs w:val="22"/>
        </w:rPr>
        <w:t>2.15 Paris alignment will be defined by the EBRD’s methodology for direct finance: “sub-transactions permitted under policy statements between the EBRD and its PFIs would typically be determined Paris aligned under the EBRD’s Paris alignment methodology for directly financed investments.”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6F1A9D">
        <w:rPr>
          <w:rFonts w:asciiTheme="majorHAnsi" w:hAnsiTheme="majorHAnsi" w:cstheme="majorHAnsi"/>
          <w:sz w:val="22"/>
          <w:szCs w:val="22"/>
        </w:rPr>
        <w:t>Since the methodology for direct finance alignment allows for mid and downstream oil and gas, this commitment is not sufficient</w:t>
      </w:r>
      <w:r>
        <w:rPr>
          <w:rFonts w:asciiTheme="majorHAnsi" w:hAnsiTheme="majorHAnsi" w:cstheme="majorHAnsi"/>
          <w:sz w:val="22"/>
          <w:szCs w:val="22"/>
        </w:rPr>
        <w:t>.</w:t>
      </w:r>
      <w:r w:rsidR="006F1A9D">
        <w:rPr>
          <w:rFonts w:asciiTheme="majorHAnsi" w:hAnsiTheme="majorHAnsi" w:cstheme="majorHAnsi"/>
          <w:sz w:val="22"/>
          <w:szCs w:val="22"/>
        </w:rPr>
        <w:t xml:space="preserve"> </w:t>
      </w:r>
      <w:r w:rsidR="006F1A9D" w:rsidRPr="006F1A9D">
        <w:rPr>
          <w:rFonts w:asciiTheme="majorHAnsi" w:hAnsiTheme="majorHAnsi" w:cstheme="majorHAnsi"/>
          <w:b/>
          <w:bCs/>
          <w:sz w:val="22"/>
          <w:szCs w:val="22"/>
        </w:rPr>
        <w:t>The EBRD should ensure its methodologies for both direct and indirect finance are explicit in ruling out all fossil fuels</w:t>
      </w:r>
      <w:r w:rsidR="006F1A9D">
        <w:rPr>
          <w:rFonts w:asciiTheme="majorHAnsi" w:hAnsiTheme="majorHAnsi" w:cstheme="majorHAnsi"/>
          <w:sz w:val="22"/>
          <w:szCs w:val="22"/>
        </w:rPr>
        <w:t xml:space="preserve"> </w:t>
      </w:r>
      <w:r w:rsidR="006F1A9D" w:rsidRPr="006F1A9D">
        <w:rPr>
          <w:rFonts w:asciiTheme="majorHAnsi" w:hAnsiTheme="majorHAnsi" w:cstheme="majorHAnsi"/>
          <w:b/>
          <w:bCs/>
          <w:sz w:val="22"/>
          <w:szCs w:val="22"/>
        </w:rPr>
        <w:t>support</w:t>
      </w:r>
      <w:r w:rsidR="006F1A9D">
        <w:rPr>
          <w:rFonts w:asciiTheme="majorHAnsi" w:hAnsiTheme="majorHAnsi" w:cstheme="majorHAnsi"/>
          <w:sz w:val="22"/>
          <w:szCs w:val="22"/>
        </w:rPr>
        <w:t>.</w:t>
      </w:r>
    </w:p>
    <w:p w14:paraId="7D03FAD9" w14:textId="77777777" w:rsidR="0037499C" w:rsidRPr="00E66B56" w:rsidRDefault="0037499C" w:rsidP="00E66B56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37499C" w:rsidRPr="00E66B56" w:rsidSect="00940E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ran Witt" w:date="2022-02-04T10:51:00Z" w:initials="FW">
    <w:p w14:paraId="45BDAC77" w14:textId="52281FC0" w:rsidR="00320C39" w:rsidRDefault="00320C39" w:rsidP="008B4851">
      <w:pPr>
        <w:pStyle w:val="CommentText"/>
      </w:pPr>
      <w:r>
        <w:rPr>
          <w:rStyle w:val="CommentReference"/>
        </w:rPr>
        <w:annotationRef/>
      </w:r>
      <w:r>
        <w:t>Spell 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5BDAC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839D" w16cex:dateUtc="2022-02-04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BDAC77" w16cid:durableId="25A783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A63C" w14:textId="77777777" w:rsidR="00E547AD" w:rsidRDefault="00E547AD" w:rsidP="00B9687C">
      <w:r>
        <w:separator/>
      </w:r>
    </w:p>
  </w:endnote>
  <w:endnote w:type="continuationSeparator" w:id="0">
    <w:p w14:paraId="360CFA7E" w14:textId="77777777" w:rsidR="00E547AD" w:rsidRDefault="00E547AD" w:rsidP="00B9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8450F" w14:textId="77777777" w:rsidR="00E547AD" w:rsidRDefault="00E547AD" w:rsidP="00B9687C">
      <w:r>
        <w:separator/>
      </w:r>
    </w:p>
  </w:footnote>
  <w:footnote w:type="continuationSeparator" w:id="0">
    <w:p w14:paraId="39BE2333" w14:textId="77777777" w:rsidR="00E547AD" w:rsidRDefault="00E547AD" w:rsidP="00B9687C">
      <w:r>
        <w:continuationSeparator/>
      </w:r>
    </w:p>
  </w:footnote>
  <w:footnote w:id="1">
    <w:p w14:paraId="04DEF484" w14:textId="7A945111" w:rsidR="00B9687C" w:rsidRDefault="00B9687C">
      <w:pPr>
        <w:pStyle w:val="FootnoteText"/>
      </w:pPr>
      <w:r>
        <w:rPr>
          <w:rStyle w:val="FootnoteReference"/>
        </w:rPr>
        <w:footnoteRef/>
      </w:r>
      <w:r>
        <w:t xml:space="preserve"> Numbers used here refer to the EBRD paragraphs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E1F82"/>
    <w:multiLevelType w:val="multilevel"/>
    <w:tmpl w:val="0ACEC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67F57195"/>
    <w:multiLevelType w:val="multilevel"/>
    <w:tmpl w:val="5FFCD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 Witt">
    <w15:presenceInfo w15:providerId="Windows Live" w15:userId="75b9c8d8c1484f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B4"/>
    <w:rsid w:val="000212BF"/>
    <w:rsid w:val="00073675"/>
    <w:rsid w:val="00092CD4"/>
    <w:rsid w:val="001E4E87"/>
    <w:rsid w:val="0027504E"/>
    <w:rsid w:val="00282201"/>
    <w:rsid w:val="00320C39"/>
    <w:rsid w:val="0037499C"/>
    <w:rsid w:val="00395846"/>
    <w:rsid w:val="0041141E"/>
    <w:rsid w:val="004342CF"/>
    <w:rsid w:val="00434419"/>
    <w:rsid w:val="00577C5D"/>
    <w:rsid w:val="00636136"/>
    <w:rsid w:val="006F1A9D"/>
    <w:rsid w:val="007D1A51"/>
    <w:rsid w:val="00893AF6"/>
    <w:rsid w:val="008F7D49"/>
    <w:rsid w:val="009314E4"/>
    <w:rsid w:val="00940E64"/>
    <w:rsid w:val="009B3990"/>
    <w:rsid w:val="00A34BB4"/>
    <w:rsid w:val="00B71281"/>
    <w:rsid w:val="00B9687C"/>
    <w:rsid w:val="00D228D3"/>
    <w:rsid w:val="00D42A4A"/>
    <w:rsid w:val="00D47D1A"/>
    <w:rsid w:val="00D911C8"/>
    <w:rsid w:val="00E547AD"/>
    <w:rsid w:val="00E66B56"/>
    <w:rsid w:val="00F57940"/>
    <w:rsid w:val="00F604DC"/>
    <w:rsid w:val="00F73E08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1FE7"/>
  <w15:chartTrackingRefBased/>
  <w15:docId w15:val="{06B4946F-BB7F-E34B-97F2-91D84FC5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499C"/>
    <w:rPr>
      <w:color w:val="0563C1" w:themeColor="hyperlink"/>
      <w:u w:val="single"/>
    </w:rPr>
  </w:style>
  <w:style w:type="paragraph" w:customStyle="1" w:styleId="Default">
    <w:name w:val="Default"/>
    <w:rsid w:val="0037499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3441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2A4A"/>
  </w:style>
  <w:style w:type="character" w:styleId="CommentReference">
    <w:name w:val="annotation reference"/>
    <w:basedOn w:val="DefaultParagraphFont"/>
    <w:uiPriority w:val="99"/>
    <w:semiHidden/>
    <w:unhideWhenUsed/>
    <w:rsid w:val="001E4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8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1A5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68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6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6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2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limatechangenews.com/2020/10/22/world-bank-branch-indirectly-backs-coal-megaproject-despite-green-pledge/" TargetMode="External"/><Relationship Id="rId18" Type="http://schemas.openxmlformats.org/officeDocument/2006/relationships/hyperlink" Target="https://www.ifc.org/wps/wcm/connect/05541643-0001-467d-883c-5d7a127ffd57/IFC+Greening+Report+Sept+2020.pdf?MOD=AJPERES&amp;CVID=nisvaOC&amp;ContentCache=NONE&amp;CACHE=NON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sclosures.ifc.org/project-detail/SII/42034/keb-hana-indonesia-rights-issue-iv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am.org/en/research/suffering-others" TargetMode="Externa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re-course.org/news/closing-loopholes-how-the-ifc-can-help-end-fossil-fuel-financ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blishwhatyoufund.org/projects/dfi-transparency-initiative/5-financial-intermediaries-offshore-financial-centres-beneficial-ownership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FFCB48-6F41-3C4F-A4CF-0F7FCFC8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1977</Words>
  <Characters>9966</Characters>
  <Application>Microsoft Office Word</Application>
  <DocSecurity>0</DocSecurity>
  <Lines>249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Geary</dc:creator>
  <cp:keywords/>
  <dc:description/>
  <cp:lastModifiedBy>Kate Geary</cp:lastModifiedBy>
  <cp:revision>2</cp:revision>
  <dcterms:created xsi:type="dcterms:W3CDTF">2022-02-04T11:22:00Z</dcterms:created>
  <dcterms:modified xsi:type="dcterms:W3CDTF">2022-02-04T11:22:00Z</dcterms:modified>
</cp:coreProperties>
</file>