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10FF8" w14:textId="77777777" w:rsidR="000D72C2" w:rsidRPr="00904B5D" w:rsidRDefault="000D72C2" w:rsidP="00904B5D">
      <w:pPr>
        <w:spacing w:line="276" w:lineRule="auto"/>
        <w:rPr>
          <w:rFonts w:asciiTheme="minorHAnsi" w:hAnsiTheme="minorHAnsi" w:cstheme="minorHAnsi"/>
          <w:color w:val="000000" w:themeColor="text1"/>
          <w:sz w:val="22"/>
          <w:szCs w:val="22"/>
        </w:rPr>
      </w:pPr>
      <w:bookmarkStart w:id="0" w:name="_GoBack"/>
      <w:bookmarkEnd w:id="0"/>
      <w:r w:rsidRPr="00904B5D">
        <w:rPr>
          <w:rFonts w:asciiTheme="minorHAnsi" w:hAnsiTheme="minorHAnsi" w:cstheme="minorHAnsi"/>
          <w:noProof/>
          <w:color w:val="000000" w:themeColor="text1"/>
          <w:sz w:val="22"/>
          <w:szCs w:val="22"/>
        </w:rPr>
        <w:drawing>
          <wp:inline distT="0" distB="0" distL="0" distR="0" wp14:anchorId="450B4899" wp14:editId="5CECFDBB">
            <wp:extent cx="1732156" cy="449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7162" cy="455849"/>
                    </a:xfrm>
                    <a:prstGeom prst="rect">
                      <a:avLst/>
                    </a:prstGeom>
                  </pic:spPr>
                </pic:pic>
              </a:graphicData>
            </a:graphic>
          </wp:inline>
        </w:drawing>
      </w:r>
    </w:p>
    <w:p w14:paraId="4BEE8492" w14:textId="28B7372C" w:rsidR="000D72C2" w:rsidRPr="00904B5D" w:rsidRDefault="001C74BB" w:rsidP="00904B5D">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March 2019</w:t>
      </w:r>
    </w:p>
    <w:p w14:paraId="572B13B8" w14:textId="77777777" w:rsidR="002372EC" w:rsidRDefault="002372EC" w:rsidP="00904B5D">
      <w:pPr>
        <w:spacing w:line="276" w:lineRule="auto"/>
        <w:jc w:val="center"/>
        <w:rPr>
          <w:rFonts w:asciiTheme="minorHAnsi" w:hAnsiTheme="minorHAnsi" w:cstheme="minorHAnsi"/>
          <w:b/>
          <w:color w:val="4472C4" w:themeColor="accent1"/>
          <w:sz w:val="32"/>
          <w:szCs w:val="32"/>
        </w:rPr>
      </w:pPr>
    </w:p>
    <w:p w14:paraId="1860A8F6" w14:textId="58F8ADA9" w:rsidR="000D72C2" w:rsidRPr="0017060C" w:rsidRDefault="000D72C2" w:rsidP="00904B5D">
      <w:pPr>
        <w:spacing w:line="276" w:lineRule="auto"/>
        <w:jc w:val="center"/>
        <w:rPr>
          <w:rFonts w:asciiTheme="minorHAnsi" w:hAnsiTheme="minorHAnsi" w:cstheme="minorHAnsi"/>
          <w:b/>
          <w:color w:val="4472C4" w:themeColor="accent1"/>
          <w:sz w:val="32"/>
          <w:szCs w:val="32"/>
        </w:rPr>
      </w:pPr>
      <w:r w:rsidRPr="0017060C">
        <w:rPr>
          <w:rFonts w:asciiTheme="minorHAnsi" w:hAnsiTheme="minorHAnsi" w:cstheme="minorHAnsi"/>
          <w:b/>
          <w:color w:val="4472C4" w:themeColor="accent1"/>
          <w:sz w:val="32"/>
          <w:szCs w:val="32"/>
        </w:rPr>
        <w:t xml:space="preserve">AIIB equity strategy and financial intermediaries: </w:t>
      </w:r>
    </w:p>
    <w:p w14:paraId="4F3EA9A0" w14:textId="77777777" w:rsidR="000D72C2" w:rsidRPr="0017060C" w:rsidRDefault="00AA13A5" w:rsidP="00904B5D">
      <w:pPr>
        <w:spacing w:line="276" w:lineRule="auto"/>
        <w:jc w:val="center"/>
        <w:rPr>
          <w:rFonts w:asciiTheme="minorHAnsi" w:hAnsiTheme="minorHAnsi" w:cstheme="minorHAnsi"/>
          <w:b/>
          <w:color w:val="4472C4" w:themeColor="accent1"/>
          <w:sz w:val="32"/>
          <w:szCs w:val="32"/>
        </w:rPr>
      </w:pPr>
      <w:r w:rsidRPr="0017060C">
        <w:rPr>
          <w:rFonts w:asciiTheme="minorHAnsi" w:hAnsiTheme="minorHAnsi" w:cstheme="minorHAnsi"/>
          <w:b/>
          <w:color w:val="4472C4" w:themeColor="accent1"/>
          <w:sz w:val="32"/>
          <w:szCs w:val="32"/>
        </w:rPr>
        <w:t>M</w:t>
      </w:r>
      <w:r w:rsidR="000D72C2" w:rsidRPr="0017060C">
        <w:rPr>
          <w:rFonts w:asciiTheme="minorHAnsi" w:hAnsiTheme="minorHAnsi" w:cstheme="minorHAnsi"/>
          <w:b/>
          <w:color w:val="4472C4" w:themeColor="accent1"/>
          <w:sz w:val="32"/>
          <w:szCs w:val="32"/>
        </w:rPr>
        <w:t>eet</w:t>
      </w:r>
      <w:r w:rsidRPr="0017060C">
        <w:rPr>
          <w:rFonts w:asciiTheme="minorHAnsi" w:hAnsiTheme="minorHAnsi" w:cstheme="minorHAnsi"/>
          <w:b/>
          <w:color w:val="4472C4" w:themeColor="accent1"/>
          <w:sz w:val="32"/>
          <w:szCs w:val="32"/>
        </w:rPr>
        <w:t>ing</w:t>
      </w:r>
      <w:r w:rsidR="000D72C2" w:rsidRPr="0017060C">
        <w:rPr>
          <w:rFonts w:asciiTheme="minorHAnsi" w:hAnsiTheme="minorHAnsi" w:cstheme="minorHAnsi"/>
          <w:b/>
          <w:color w:val="4472C4" w:themeColor="accent1"/>
          <w:sz w:val="32"/>
          <w:szCs w:val="32"/>
        </w:rPr>
        <w:t xml:space="preserve"> best practice</w:t>
      </w:r>
    </w:p>
    <w:p w14:paraId="31FE4B2C" w14:textId="77777777" w:rsidR="000D72C2" w:rsidRPr="00904B5D" w:rsidRDefault="000D72C2" w:rsidP="00904B5D">
      <w:pPr>
        <w:spacing w:line="276" w:lineRule="auto"/>
        <w:jc w:val="center"/>
        <w:rPr>
          <w:rFonts w:asciiTheme="minorHAnsi" w:hAnsiTheme="minorHAnsi" w:cstheme="minorHAnsi"/>
          <w:color w:val="000000" w:themeColor="text1"/>
          <w:sz w:val="22"/>
          <w:szCs w:val="22"/>
        </w:rPr>
      </w:pPr>
    </w:p>
    <w:p w14:paraId="0396ADFB" w14:textId="77777777" w:rsidR="000D72C2" w:rsidRPr="00904B5D" w:rsidRDefault="000D72C2" w:rsidP="00904B5D">
      <w:pPr>
        <w:spacing w:line="276" w:lineRule="auto"/>
        <w:jc w:val="center"/>
        <w:rPr>
          <w:rFonts w:asciiTheme="minorHAnsi" w:hAnsiTheme="minorHAnsi" w:cstheme="minorHAnsi"/>
          <w:b/>
          <w:color w:val="000000" w:themeColor="text1"/>
          <w:sz w:val="22"/>
          <w:szCs w:val="22"/>
        </w:rPr>
      </w:pPr>
    </w:p>
    <w:p w14:paraId="2A1283BA" w14:textId="5E36ECF5" w:rsidR="004C7134" w:rsidRDefault="00E93DCB" w:rsidP="002318DC">
      <w:pPr>
        <w:spacing w:line="276" w:lineRule="auto"/>
        <w:rPr>
          <w:rFonts w:asciiTheme="minorHAnsi" w:hAnsiTheme="minorHAnsi" w:cstheme="minorHAnsi"/>
          <w:color w:val="000000" w:themeColor="text1"/>
          <w:sz w:val="22"/>
          <w:szCs w:val="22"/>
        </w:rPr>
      </w:pPr>
      <w:r w:rsidRPr="002318DC">
        <w:rPr>
          <w:rFonts w:asciiTheme="minorHAnsi" w:hAnsiTheme="minorHAnsi" w:cstheme="minorHAnsi"/>
          <w:color w:val="000000" w:themeColor="text1"/>
          <w:sz w:val="22"/>
          <w:szCs w:val="22"/>
        </w:rPr>
        <w:t xml:space="preserve">This </w:t>
      </w:r>
      <w:r w:rsidR="00881AF6" w:rsidRPr="002318DC">
        <w:rPr>
          <w:rFonts w:asciiTheme="minorHAnsi" w:hAnsiTheme="minorHAnsi" w:cstheme="minorHAnsi"/>
          <w:color w:val="000000" w:themeColor="text1"/>
          <w:sz w:val="22"/>
          <w:szCs w:val="22"/>
        </w:rPr>
        <w:t>brief</w:t>
      </w:r>
      <w:r w:rsidRPr="002318DC">
        <w:rPr>
          <w:rFonts w:asciiTheme="minorHAnsi" w:hAnsiTheme="minorHAnsi" w:cstheme="minorHAnsi"/>
          <w:color w:val="000000" w:themeColor="text1"/>
          <w:sz w:val="22"/>
          <w:szCs w:val="22"/>
        </w:rPr>
        <w:t xml:space="preserve"> aims to summarise current good practice among international financial institutions with regard to financial intermediary </w:t>
      </w:r>
      <w:r w:rsidR="00E97EC0" w:rsidRPr="002318DC">
        <w:rPr>
          <w:rFonts w:asciiTheme="minorHAnsi" w:hAnsiTheme="minorHAnsi" w:cstheme="minorHAnsi"/>
          <w:color w:val="000000" w:themeColor="text1"/>
          <w:sz w:val="22"/>
          <w:szCs w:val="22"/>
        </w:rPr>
        <w:t xml:space="preserve">(FI) </w:t>
      </w:r>
      <w:r w:rsidRPr="002318DC">
        <w:rPr>
          <w:rFonts w:asciiTheme="minorHAnsi" w:hAnsiTheme="minorHAnsi" w:cstheme="minorHAnsi"/>
          <w:color w:val="000000" w:themeColor="text1"/>
          <w:sz w:val="22"/>
          <w:szCs w:val="22"/>
        </w:rPr>
        <w:t>lending, to help serve as concrete examples for the Board of the Asian Infrastructure Investment Bank to use in ensuring it promotes and upholds the highest standards.</w:t>
      </w:r>
      <w:r w:rsidR="00881AF6" w:rsidRPr="002318DC">
        <w:rPr>
          <w:rFonts w:asciiTheme="minorHAnsi" w:hAnsiTheme="minorHAnsi" w:cstheme="minorHAnsi"/>
          <w:color w:val="000000" w:themeColor="text1"/>
          <w:sz w:val="22"/>
          <w:szCs w:val="22"/>
        </w:rPr>
        <w:t xml:space="preserve"> </w:t>
      </w:r>
      <w:r w:rsidR="00746308">
        <w:rPr>
          <w:rFonts w:asciiTheme="minorHAnsi" w:hAnsiTheme="minorHAnsi" w:cstheme="minorHAnsi"/>
          <w:color w:val="000000" w:themeColor="text1"/>
          <w:sz w:val="22"/>
          <w:szCs w:val="22"/>
        </w:rPr>
        <w:t>I</w:t>
      </w:r>
      <w:r w:rsidR="00881AF6" w:rsidRPr="002318DC">
        <w:rPr>
          <w:rFonts w:asciiTheme="minorHAnsi" w:hAnsiTheme="minorHAnsi" w:cstheme="minorHAnsi"/>
          <w:color w:val="000000" w:themeColor="text1"/>
          <w:sz w:val="22"/>
          <w:szCs w:val="22"/>
        </w:rPr>
        <w:t xml:space="preserve">ssues covered include transparency </w:t>
      </w:r>
      <w:r w:rsidR="00C0441E" w:rsidRPr="002318DC">
        <w:rPr>
          <w:rFonts w:asciiTheme="minorHAnsi" w:hAnsiTheme="minorHAnsi" w:cstheme="minorHAnsi"/>
          <w:color w:val="000000" w:themeColor="text1"/>
          <w:sz w:val="22"/>
          <w:szCs w:val="22"/>
        </w:rPr>
        <w:t>and</w:t>
      </w:r>
      <w:r w:rsidR="00457475" w:rsidRPr="002318DC">
        <w:rPr>
          <w:rFonts w:asciiTheme="minorHAnsi" w:hAnsiTheme="minorHAnsi" w:cstheme="minorHAnsi"/>
          <w:color w:val="000000" w:themeColor="text1"/>
          <w:sz w:val="22"/>
          <w:szCs w:val="22"/>
        </w:rPr>
        <w:t xml:space="preserve"> </w:t>
      </w:r>
      <w:r w:rsidR="006506E1" w:rsidRPr="002318DC">
        <w:rPr>
          <w:rFonts w:asciiTheme="minorHAnsi" w:hAnsiTheme="minorHAnsi" w:cstheme="minorHAnsi"/>
          <w:color w:val="000000" w:themeColor="text1"/>
          <w:sz w:val="22"/>
          <w:szCs w:val="22"/>
        </w:rPr>
        <w:t>climate-related policies</w:t>
      </w:r>
      <w:r w:rsidR="00DB2B7A" w:rsidRPr="002318DC">
        <w:rPr>
          <w:rFonts w:asciiTheme="minorHAnsi" w:hAnsiTheme="minorHAnsi" w:cstheme="minorHAnsi"/>
          <w:color w:val="000000" w:themeColor="text1"/>
          <w:sz w:val="22"/>
          <w:szCs w:val="22"/>
        </w:rPr>
        <w:t>.</w:t>
      </w:r>
      <w:r w:rsidR="009D4230" w:rsidRPr="002318DC">
        <w:rPr>
          <w:rFonts w:asciiTheme="minorHAnsi" w:hAnsiTheme="minorHAnsi" w:cstheme="minorHAnsi"/>
          <w:color w:val="000000" w:themeColor="text1"/>
          <w:sz w:val="22"/>
          <w:szCs w:val="22"/>
        </w:rPr>
        <w:t xml:space="preserve"> </w:t>
      </w:r>
    </w:p>
    <w:p w14:paraId="70C3AA2C" w14:textId="77777777" w:rsidR="004C7134" w:rsidRDefault="004C7134" w:rsidP="002318DC">
      <w:pPr>
        <w:spacing w:line="276" w:lineRule="auto"/>
        <w:rPr>
          <w:rFonts w:asciiTheme="minorHAnsi" w:hAnsiTheme="minorHAnsi" w:cstheme="minorHAnsi"/>
          <w:color w:val="000000" w:themeColor="text1"/>
          <w:sz w:val="22"/>
          <w:szCs w:val="22"/>
        </w:rPr>
      </w:pPr>
    </w:p>
    <w:p w14:paraId="469D253D" w14:textId="235436B6" w:rsidR="00E93DCB" w:rsidRPr="002318DC" w:rsidRDefault="00D63861" w:rsidP="002318DC">
      <w:pPr>
        <w:spacing w:line="276" w:lineRule="auto"/>
        <w:rPr>
          <w:rFonts w:asciiTheme="minorHAnsi" w:hAnsiTheme="minorHAnsi" w:cstheme="minorHAnsi"/>
          <w:color w:val="000000" w:themeColor="text1"/>
          <w:sz w:val="22"/>
          <w:szCs w:val="22"/>
        </w:rPr>
      </w:pPr>
      <w:r w:rsidRPr="002318DC">
        <w:rPr>
          <w:rFonts w:asciiTheme="minorHAnsi" w:hAnsiTheme="minorHAnsi" w:cstheme="minorHAnsi"/>
          <w:color w:val="000000" w:themeColor="text1"/>
          <w:sz w:val="22"/>
          <w:szCs w:val="22"/>
        </w:rPr>
        <w:t>This</w:t>
      </w:r>
      <w:r w:rsidR="009D4230" w:rsidRPr="002318DC">
        <w:rPr>
          <w:rFonts w:asciiTheme="minorHAnsi" w:hAnsiTheme="minorHAnsi" w:cstheme="minorHAnsi"/>
          <w:color w:val="000000" w:themeColor="text1"/>
          <w:sz w:val="22"/>
          <w:szCs w:val="22"/>
        </w:rPr>
        <w:t xml:space="preserve"> brief </w:t>
      </w:r>
      <w:r w:rsidRPr="002318DC">
        <w:rPr>
          <w:rFonts w:asciiTheme="minorHAnsi" w:hAnsiTheme="minorHAnsi" w:cstheme="minorHAnsi"/>
          <w:color w:val="000000" w:themeColor="text1"/>
          <w:sz w:val="22"/>
          <w:szCs w:val="22"/>
        </w:rPr>
        <w:t>aims to</w:t>
      </w:r>
      <w:r w:rsidR="009D4230" w:rsidRPr="002318DC">
        <w:rPr>
          <w:rFonts w:asciiTheme="minorHAnsi" w:hAnsiTheme="minorHAnsi" w:cstheme="minorHAnsi"/>
          <w:color w:val="000000" w:themeColor="text1"/>
          <w:sz w:val="22"/>
          <w:szCs w:val="22"/>
        </w:rPr>
        <w:t xml:space="preserve"> inform Board members and shareholders </w:t>
      </w:r>
      <w:r w:rsidR="00E11D52" w:rsidRPr="002318DC">
        <w:rPr>
          <w:rFonts w:asciiTheme="minorHAnsi" w:hAnsiTheme="minorHAnsi" w:cstheme="minorHAnsi"/>
          <w:color w:val="000000" w:themeColor="text1"/>
          <w:sz w:val="22"/>
          <w:szCs w:val="22"/>
        </w:rPr>
        <w:t>in light of the fact that:</w:t>
      </w:r>
    </w:p>
    <w:p w14:paraId="59DA2068" w14:textId="201A097A" w:rsidR="00E11D52" w:rsidRPr="002318DC" w:rsidRDefault="00E11D52" w:rsidP="002318DC">
      <w:pPr>
        <w:spacing w:line="276" w:lineRule="auto"/>
        <w:rPr>
          <w:rFonts w:asciiTheme="minorHAnsi" w:hAnsiTheme="minorHAnsi" w:cstheme="minorHAnsi"/>
          <w:color w:val="000000" w:themeColor="text1"/>
          <w:sz w:val="22"/>
          <w:szCs w:val="22"/>
        </w:rPr>
      </w:pPr>
    </w:p>
    <w:p w14:paraId="325B7497" w14:textId="0C89B780" w:rsidR="006411B0" w:rsidRPr="002318DC" w:rsidRDefault="006411B0" w:rsidP="002318DC">
      <w:pPr>
        <w:pStyle w:val="BodyA"/>
        <w:numPr>
          <w:ilvl w:val="0"/>
          <w:numId w:val="9"/>
        </w:numPr>
        <w:spacing w:line="276" w:lineRule="auto"/>
        <w:rPr>
          <w:rFonts w:asciiTheme="minorHAnsi" w:hAnsiTheme="minorHAnsi" w:cstheme="minorHAnsi"/>
        </w:rPr>
      </w:pPr>
      <w:r w:rsidRPr="002318DC">
        <w:rPr>
          <w:rFonts w:asciiTheme="minorHAnsi" w:hAnsiTheme="minorHAnsi" w:cstheme="minorHAnsi"/>
        </w:rPr>
        <w:t>The Board will be discussing a proposed new equity strategy at its meeting on 8 April 201</w:t>
      </w:r>
      <w:r w:rsidR="004C7134">
        <w:rPr>
          <w:rFonts w:asciiTheme="minorHAnsi" w:hAnsiTheme="minorHAnsi" w:cstheme="minorHAnsi"/>
        </w:rPr>
        <w:t>9</w:t>
      </w:r>
      <w:r w:rsidRPr="002318DC">
        <w:rPr>
          <w:rFonts w:asciiTheme="minorHAnsi" w:hAnsiTheme="minorHAnsi" w:cstheme="minorHAnsi"/>
        </w:rPr>
        <w:t>;</w:t>
      </w:r>
    </w:p>
    <w:p w14:paraId="79949EC4" w14:textId="77777777" w:rsidR="006411B0" w:rsidRPr="002318DC" w:rsidRDefault="006411B0" w:rsidP="002318DC">
      <w:pPr>
        <w:pStyle w:val="BodyA"/>
        <w:numPr>
          <w:ilvl w:val="0"/>
          <w:numId w:val="9"/>
        </w:numPr>
        <w:spacing w:line="276" w:lineRule="auto"/>
        <w:rPr>
          <w:rFonts w:asciiTheme="minorHAnsi" w:hAnsiTheme="minorHAnsi" w:cstheme="minorHAnsi"/>
        </w:rPr>
      </w:pPr>
      <w:r w:rsidRPr="002318DC">
        <w:rPr>
          <w:rFonts w:asciiTheme="minorHAnsi" w:hAnsiTheme="minorHAnsi" w:cstheme="minorHAnsi"/>
        </w:rPr>
        <w:t>There have been rapid developments in this field of lending, with new reforms announced by the IFC in late 2018 and February 2019;</w:t>
      </w:r>
    </w:p>
    <w:p w14:paraId="37E648AE" w14:textId="77777777" w:rsidR="00E11D52" w:rsidRPr="002318DC" w:rsidRDefault="00E11D52" w:rsidP="002318DC">
      <w:pPr>
        <w:pStyle w:val="BodyA"/>
        <w:numPr>
          <w:ilvl w:val="0"/>
          <w:numId w:val="9"/>
        </w:numPr>
        <w:spacing w:line="276" w:lineRule="auto"/>
        <w:rPr>
          <w:rFonts w:asciiTheme="minorHAnsi" w:hAnsiTheme="minorHAnsi" w:cstheme="minorHAnsi"/>
        </w:rPr>
      </w:pPr>
      <w:r w:rsidRPr="002318DC">
        <w:rPr>
          <w:rFonts w:asciiTheme="minorHAnsi" w:hAnsiTheme="minorHAnsi" w:cstheme="minorHAnsi"/>
        </w:rPr>
        <w:t xml:space="preserve">The AIIB has told us that it is “working on the refining of the implementation of our environmental and social policy for this specific type of investments, and </w:t>
      </w:r>
      <w:r w:rsidRPr="002318DC">
        <w:rPr>
          <w:rFonts w:asciiTheme="minorHAnsi" w:hAnsiTheme="minorHAnsi" w:cstheme="minorHAnsi"/>
          <w:i/>
        </w:rPr>
        <w:t>in doing so we are taking into account the work done by our peers</w:t>
      </w:r>
      <w:r w:rsidRPr="004C7134">
        <w:rPr>
          <w:rFonts w:asciiTheme="minorHAnsi" w:hAnsiTheme="minorHAnsi" w:cstheme="minorHAnsi"/>
        </w:rPr>
        <w:t>”</w:t>
      </w:r>
      <w:r w:rsidRPr="002318DC">
        <w:rPr>
          <w:rFonts w:asciiTheme="minorHAnsi" w:hAnsiTheme="minorHAnsi" w:cstheme="minorHAnsi"/>
        </w:rPr>
        <w:t>;</w:t>
      </w:r>
    </w:p>
    <w:p w14:paraId="0545C0E1" w14:textId="15CF2829" w:rsidR="00E11D52" w:rsidRPr="002318DC" w:rsidRDefault="00E11D52" w:rsidP="002318DC">
      <w:pPr>
        <w:pStyle w:val="BodyA"/>
        <w:numPr>
          <w:ilvl w:val="0"/>
          <w:numId w:val="9"/>
        </w:numPr>
        <w:spacing w:line="276" w:lineRule="auto"/>
        <w:rPr>
          <w:rFonts w:asciiTheme="minorHAnsi" w:hAnsiTheme="minorHAnsi" w:cstheme="minorHAnsi"/>
        </w:rPr>
      </w:pPr>
      <w:r w:rsidRPr="002318DC">
        <w:rPr>
          <w:rFonts w:asciiTheme="minorHAnsi" w:hAnsiTheme="minorHAnsi" w:cstheme="minorHAnsi"/>
        </w:rPr>
        <w:t>FI lending now comprises over 11</w:t>
      </w:r>
      <w:r w:rsidR="00983894">
        <w:rPr>
          <w:rFonts w:asciiTheme="minorHAnsi" w:hAnsiTheme="minorHAnsi" w:cstheme="minorHAnsi"/>
        </w:rPr>
        <w:t>%</w:t>
      </w:r>
      <w:r w:rsidRPr="002318DC">
        <w:rPr>
          <w:rFonts w:asciiTheme="minorHAnsi" w:hAnsiTheme="minorHAnsi" w:cstheme="minorHAnsi"/>
        </w:rPr>
        <w:t xml:space="preserve"> of AIIB’s total lending, and this is set to rise in coming years;</w:t>
      </w:r>
    </w:p>
    <w:p w14:paraId="6005321B" w14:textId="403709A5" w:rsidR="00E11D52" w:rsidRPr="002318DC" w:rsidRDefault="002372EC" w:rsidP="002318DC">
      <w:pPr>
        <w:pStyle w:val="BodyA"/>
        <w:numPr>
          <w:ilvl w:val="0"/>
          <w:numId w:val="9"/>
        </w:numPr>
        <w:spacing w:line="276" w:lineRule="auto"/>
        <w:rPr>
          <w:rFonts w:asciiTheme="minorHAnsi" w:hAnsiTheme="minorHAnsi" w:cstheme="minorHAnsi"/>
        </w:rPr>
      </w:pPr>
      <w:r w:rsidRPr="002318DC">
        <w:rPr>
          <w:rFonts w:asciiTheme="minorHAnsi" w:hAnsiTheme="minorHAnsi" w:cstheme="minorHAnsi"/>
        </w:rPr>
        <w:t xml:space="preserve">The </w:t>
      </w:r>
      <w:r w:rsidR="00E11D52" w:rsidRPr="002318DC">
        <w:rPr>
          <w:rFonts w:asciiTheme="minorHAnsi" w:hAnsiTheme="minorHAnsi" w:cstheme="minorHAnsi"/>
        </w:rPr>
        <w:t xml:space="preserve">AIIB’s current FI portfolio includes investments such as the </w:t>
      </w:r>
      <w:r w:rsidR="004C7134">
        <w:rPr>
          <w:rFonts w:asciiTheme="minorHAnsi" w:hAnsiTheme="minorHAnsi" w:cstheme="minorHAnsi"/>
        </w:rPr>
        <w:t xml:space="preserve">IFC </w:t>
      </w:r>
      <w:hyperlink r:id="rId9" w:history="1">
        <w:r w:rsidR="00E11D52" w:rsidRPr="002318DC">
          <w:rPr>
            <w:rStyle w:val="Hyperlink0"/>
            <w:rFonts w:asciiTheme="minorHAnsi" w:hAnsiTheme="minorHAnsi" w:cstheme="minorHAnsi"/>
          </w:rPr>
          <w:t>Emerging Asia Fund</w:t>
        </w:r>
      </w:hyperlink>
      <w:r w:rsidR="00E11D52" w:rsidRPr="002318DC">
        <w:rPr>
          <w:rStyle w:val="None"/>
          <w:rFonts w:asciiTheme="minorHAnsi" w:hAnsiTheme="minorHAnsi" w:cstheme="minorHAnsi"/>
        </w:rPr>
        <w:t xml:space="preserve"> which backs two heavily fossil fuel-intensive clients. </w:t>
      </w:r>
      <w:r w:rsidR="00E11D52" w:rsidRPr="002318DC">
        <w:rPr>
          <w:rFonts w:asciiTheme="minorHAnsi" w:hAnsiTheme="minorHAnsi" w:cstheme="minorHAnsi"/>
        </w:rPr>
        <w:t xml:space="preserve">See </w:t>
      </w:r>
      <w:hyperlink r:id="rId10" w:history="1">
        <w:r w:rsidR="00E11D52" w:rsidRPr="002318DC">
          <w:rPr>
            <w:rStyle w:val="Hyperlink1"/>
            <w:rFonts w:asciiTheme="minorHAnsi" w:hAnsiTheme="minorHAnsi" w:cstheme="minorHAnsi"/>
          </w:rPr>
          <w:t>AIIB and fossil fuels</w:t>
        </w:r>
      </w:hyperlink>
      <w:r w:rsidR="00E11D52" w:rsidRPr="002318DC">
        <w:rPr>
          <w:rFonts w:asciiTheme="minorHAnsi" w:hAnsiTheme="minorHAnsi" w:cstheme="minorHAnsi"/>
        </w:rPr>
        <w:t xml:space="preserve"> for further information.</w:t>
      </w:r>
    </w:p>
    <w:p w14:paraId="376243F6" w14:textId="4FD609A3" w:rsidR="00D4350C" w:rsidRPr="002318DC" w:rsidRDefault="00D4350C" w:rsidP="002318DC">
      <w:pPr>
        <w:spacing w:line="276" w:lineRule="auto"/>
        <w:rPr>
          <w:rFonts w:asciiTheme="minorHAnsi" w:hAnsiTheme="minorHAnsi" w:cstheme="minorHAnsi"/>
          <w:color w:val="000000" w:themeColor="text1"/>
          <w:sz w:val="22"/>
          <w:szCs w:val="22"/>
        </w:rPr>
      </w:pPr>
    </w:p>
    <w:p w14:paraId="613C80D0" w14:textId="4F287A30" w:rsidR="00D4350C" w:rsidRPr="002318DC" w:rsidRDefault="00D4350C" w:rsidP="002318DC">
      <w:pPr>
        <w:spacing w:line="276" w:lineRule="auto"/>
        <w:rPr>
          <w:rFonts w:asciiTheme="minorHAnsi" w:hAnsiTheme="minorHAnsi" w:cstheme="minorHAnsi"/>
          <w:color w:val="000000" w:themeColor="text1"/>
          <w:sz w:val="22"/>
          <w:szCs w:val="22"/>
        </w:rPr>
      </w:pPr>
      <w:r w:rsidRPr="002318DC">
        <w:rPr>
          <w:rFonts w:asciiTheme="minorHAnsi" w:hAnsiTheme="minorHAnsi" w:cstheme="minorHAnsi"/>
          <w:color w:val="000000" w:themeColor="text1"/>
          <w:sz w:val="22"/>
          <w:szCs w:val="22"/>
        </w:rPr>
        <w:t>We encourage Board members to ensure that the AIIB:</w:t>
      </w:r>
    </w:p>
    <w:p w14:paraId="5EE468E4" w14:textId="77777777" w:rsidR="00D4350C" w:rsidRPr="002318DC" w:rsidRDefault="00D4350C" w:rsidP="002318DC">
      <w:pPr>
        <w:spacing w:line="276" w:lineRule="auto"/>
        <w:rPr>
          <w:rFonts w:asciiTheme="minorHAnsi" w:hAnsiTheme="minorHAnsi" w:cstheme="minorHAnsi"/>
          <w:color w:val="000000" w:themeColor="text1"/>
          <w:sz w:val="22"/>
          <w:szCs w:val="22"/>
        </w:rPr>
      </w:pPr>
    </w:p>
    <w:p w14:paraId="6ED868DE" w14:textId="659187BF" w:rsidR="00D245FE" w:rsidRDefault="00D245FE" w:rsidP="002318DC">
      <w:pPr>
        <w:pStyle w:val="BodyA"/>
        <w:numPr>
          <w:ilvl w:val="0"/>
          <w:numId w:val="7"/>
        </w:numPr>
        <w:spacing w:after="80" w:line="276" w:lineRule="auto"/>
        <w:rPr>
          <w:rStyle w:val="None"/>
          <w:rFonts w:asciiTheme="minorHAnsi" w:hAnsiTheme="minorHAnsi" w:cstheme="minorHAnsi"/>
        </w:rPr>
      </w:pPr>
      <w:r w:rsidRPr="00FE58FE">
        <w:rPr>
          <w:rFonts w:asciiTheme="minorHAnsi" w:hAnsiTheme="minorHAnsi" w:cstheme="minorHAnsi"/>
          <w:color w:val="000000" w:themeColor="text1"/>
        </w:rPr>
        <w:t>Requir</w:t>
      </w:r>
      <w:r>
        <w:rPr>
          <w:rFonts w:asciiTheme="minorHAnsi" w:hAnsiTheme="minorHAnsi" w:cstheme="minorHAnsi"/>
          <w:color w:val="000000" w:themeColor="text1"/>
        </w:rPr>
        <w:t>es</w:t>
      </w:r>
      <w:r w:rsidRPr="00FE58FE">
        <w:rPr>
          <w:rFonts w:asciiTheme="minorHAnsi" w:hAnsiTheme="minorHAnsi" w:cstheme="minorHAnsi"/>
          <w:color w:val="000000" w:themeColor="text1"/>
        </w:rPr>
        <w:t xml:space="preserve"> </w:t>
      </w:r>
      <w:r w:rsidRPr="00CC035D">
        <w:rPr>
          <w:rFonts w:asciiTheme="minorHAnsi" w:hAnsiTheme="minorHAnsi" w:cstheme="minorHAnsi"/>
          <w:b/>
          <w:color w:val="000000" w:themeColor="text1"/>
        </w:rPr>
        <w:t>timebound disclosure</w:t>
      </w:r>
      <w:r w:rsidRPr="00FE58FE">
        <w:rPr>
          <w:rFonts w:asciiTheme="minorHAnsi" w:hAnsiTheme="minorHAnsi" w:cstheme="minorHAnsi"/>
          <w:color w:val="000000" w:themeColor="text1"/>
        </w:rPr>
        <w:t xml:space="preserve"> of </w:t>
      </w:r>
      <w:r w:rsidR="00610AE8">
        <w:rPr>
          <w:rFonts w:asciiTheme="minorHAnsi" w:hAnsiTheme="minorHAnsi" w:cstheme="minorHAnsi"/>
          <w:color w:val="000000" w:themeColor="text1"/>
        </w:rPr>
        <w:t>sub-</w:t>
      </w:r>
      <w:r w:rsidRPr="00FE58FE">
        <w:rPr>
          <w:rFonts w:asciiTheme="minorHAnsi" w:hAnsiTheme="minorHAnsi" w:cstheme="minorHAnsi"/>
          <w:color w:val="000000" w:themeColor="text1"/>
        </w:rPr>
        <w:t>project information in advance of approval</w:t>
      </w:r>
      <w:r>
        <w:rPr>
          <w:rFonts w:asciiTheme="minorHAnsi" w:hAnsiTheme="minorHAnsi" w:cstheme="minorHAnsi"/>
          <w:color w:val="000000" w:themeColor="text1"/>
        </w:rPr>
        <w:t>;</w:t>
      </w:r>
    </w:p>
    <w:p w14:paraId="65F07EE7" w14:textId="2855638A" w:rsidR="00D4350C" w:rsidRPr="002318DC" w:rsidRDefault="00D4350C" w:rsidP="002318DC">
      <w:pPr>
        <w:pStyle w:val="BodyA"/>
        <w:numPr>
          <w:ilvl w:val="0"/>
          <w:numId w:val="7"/>
        </w:numPr>
        <w:spacing w:after="80" w:line="276" w:lineRule="auto"/>
        <w:rPr>
          <w:rFonts w:asciiTheme="minorHAnsi" w:hAnsiTheme="minorHAnsi" w:cstheme="minorHAnsi"/>
        </w:rPr>
      </w:pPr>
      <w:r w:rsidRPr="002318DC">
        <w:rPr>
          <w:rStyle w:val="None"/>
          <w:rFonts w:asciiTheme="minorHAnsi" w:hAnsiTheme="minorHAnsi" w:cstheme="minorHAnsi"/>
        </w:rPr>
        <w:t>Disclose</w:t>
      </w:r>
      <w:r w:rsidR="00D6004A" w:rsidRPr="002318DC">
        <w:rPr>
          <w:rStyle w:val="None"/>
          <w:rFonts w:asciiTheme="minorHAnsi" w:hAnsiTheme="minorHAnsi" w:cstheme="minorHAnsi"/>
        </w:rPr>
        <w:t>s</w:t>
      </w:r>
      <w:r w:rsidRPr="002318DC">
        <w:rPr>
          <w:rStyle w:val="None"/>
          <w:rFonts w:asciiTheme="minorHAnsi" w:hAnsiTheme="minorHAnsi" w:cstheme="minorHAnsi"/>
        </w:rPr>
        <w:t xml:space="preserve"> the </w:t>
      </w:r>
      <w:r w:rsidRPr="002318DC">
        <w:rPr>
          <w:rStyle w:val="None"/>
          <w:rFonts w:asciiTheme="minorHAnsi" w:hAnsiTheme="minorHAnsi" w:cstheme="minorHAnsi"/>
          <w:b/>
          <w:bCs/>
        </w:rPr>
        <w:t>name, sector and location of higher risk sub-projects</w:t>
      </w:r>
      <w:r w:rsidRPr="002318DC">
        <w:rPr>
          <w:rStyle w:val="None"/>
          <w:rFonts w:asciiTheme="minorHAnsi" w:hAnsiTheme="minorHAnsi" w:cstheme="minorHAnsi"/>
        </w:rPr>
        <w:t xml:space="preserve"> financed via FIs on the AIIB’s website and on the client’s website;</w:t>
      </w:r>
    </w:p>
    <w:p w14:paraId="56415698" w14:textId="3CBC67C3" w:rsidR="00D4350C" w:rsidRPr="002318DC" w:rsidRDefault="00D4350C" w:rsidP="002318DC">
      <w:pPr>
        <w:pStyle w:val="BodyA"/>
        <w:numPr>
          <w:ilvl w:val="0"/>
          <w:numId w:val="7"/>
        </w:numPr>
        <w:spacing w:after="80" w:line="276" w:lineRule="auto"/>
        <w:rPr>
          <w:rFonts w:asciiTheme="minorHAnsi" w:hAnsiTheme="minorHAnsi" w:cstheme="minorHAnsi"/>
        </w:rPr>
      </w:pPr>
      <w:proofErr w:type="spellStart"/>
      <w:r w:rsidRPr="002318DC">
        <w:rPr>
          <w:rStyle w:val="None"/>
          <w:rFonts w:asciiTheme="minorHAnsi" w:hAnsiTheme="minorHAnsi" w:cstheme="minorHAnsi"/>
          <w:b/>
          <w:bCs/>
        </w:rPr>
        <w:t>Publi</w:t>
      </w:r>
      <w:r w:rsidR="00610AE8">
        <w:rPr>
          <w:rStyle w:val="None"/>
          <w:rFonts w:asciiTheme="minorHAnsi" w:hAnsiTheme="minorHAnsi" w:cstheme="minorHAnsi"/>
          <w:b/>
          <w:bCs/>
        </w:rPr>
        <w:t>c</w:t>
      </w:r>
      <w:r w:rsidRPr="002318DC">
        <w:rPr>
          <w:rStyle w:val="None"/>
          <w:rFonts w:asciiTheme="minorHAnsi" w:hAnsiTheme="minorHAnsi" w:cstheme="minorHAnsi"/>
          <w:b/>
          <w:bCs/>
        </w:rPr>
        <w:t>ise</w:t>
      </w:r>
      <w:r w:rsidR="00D6004A" w:rsidRPr="002318DC">
        <w:rPr>
          <w:rStyle w:val="None"/>
          <w:rFonts w:asciiTheme="minorHAnsi" w:hAnsiTheme="minorHAnsi" w:cstheme="minorHAnsi"/>
          <w:b/>
          <w:bCs/>
        </w:rPr>
        <w:t>s</w:t>
      </w:r>
      <w:proofErr w:type="spellEnd"/>
      <w:r w:rsidRPr="002318DC">
        <w:rPr>
          <w:rStyle w:val="None"/>
          <w:rFonts w:asciiTheme="minorHAnsi" w:hAnsiTheme="minorHAnsi" w:cstheme="minorHAnsi"/>
          <w:b/>
          <w:bCs/>
        </w:rPr>
        <w:t xml:space="preserve"> the AIIB’s involvement</w:t>
      </w:r>
      <w:r w:rsidRPr="002318DC">
        <w:rPr>
          <w:rStyle w:val="None"/>
          <w:rFonts w:asciiTheme="minorHAnsi" w:hAnsiTheme="minorHAnsi" w:cstheme="minorHAnsi"/>
        </w:rPr>
        <w:t xml:space="preserve"> in sub-projects at the project sites, </w:t>
      </w:r>
      <w:r w:rsidRPr="002318DC">
        <w:rPr>
          <w:rFonts w:asciiTheme="minorHAnsi" w:hAnsiTheme="minorHAnsi" w:cstheme="minorHAnsi"/>
        </w:rPr>
        <w:t xml:space="preserve">ensuring that it is clearly visible and understandable to </w:t>
      </w:r>
      <w:r w:rsidRPr="002318DC">
        <w:rPr>
          <w:rStyle w:val="None"/>
          <w:rFonts w:asciiTheme="minorHAnsi" w:hAnsiTheme="minorHAnsi" w:cstheme="minorHAnsi"/>
        </w:rPr>
        <w:t>affected communities;</w:t>
      </w:r>
    </w:p>
    <w:p w14:paraId="11B19D69" w14:textId="41D0377C" w:rsidR="00D4350C" w:rsidRPr="002318DC" w:rsidRDefault="00D4350C" w:rsidP="002318DC">
      <w:pPr>
        <w:pStyle w:val="ListParagraph"/>
        <w:numPr>
          <w:ilvl w:val="0"/>
          <w:numId w:val="7"/>
        </w:numPr>
        <w:spacing w:line="276" w:lineRule="auto"/>
        <w:rPr>
          <w:rStyle w:val="None"/>
          <w:rFonts w:asciiTheme="minorHAnsi" w:hAnsiTheme="minorHAnsi" w:cstheme="minorHAnsi"/>
          <w:color w:val="000000" w:themeColor="text1"/>
          <w:sz w:val="22"/>
          <w:szCs w:val="22"/>
        </w:rPr>
      </w:pPr>
      <w:r w:rsidRPr="002318DC">
        <w:rPr>
          <w:rStyle w:val="None"/>
          <w:rFonts w:asciiTheme="minorHAnsi" w:hAnsiTheme="minorHAnsi" w:cstheme="minorHAnsi"/>
          <w:sz w:val="22"/>
          <w:szCs w:val="22"/>
          <w:u w:color="000000"/>
          <w:lang w:val="en-US"/>
        </w:rPr>
        <w:t>Adopt</w:t>
      </w:r>
      <w:r w:rsidR="00D6004A" w:rsidRPr="002318DC">
        <w:rPr>
          <w:rStyle w:val="None"/>
          <w:rFonts w:asciiTheme="minorHAnsi" w:hAnsiTheme="minorHAnsi" w:cstheme="minorHAnsi"/>
          <w:sz w:val="22"/>
          <w:szCs w:val="22"/>
          <w:u w:color="000000"/>
          <w:lang w:val="en-US"/>
        </w:rPr>
        <w:t>s</w:t>
      </w:r>
      <w:r w:rsidRPr="002318DC">
        <w:rPr>
          <w:rStyle w:val="None"/>
          <w:rFonts w:asciiTheme="minorHAnsi" w:hAnsiTheme="minorHAnsi" w:cstheme="minorHAnsi"/>
          <w:sz w:val="22"/>
          <w:szCs w:val="22"/>
          <w:u w:color="000000"/>
          <w:lang w:val="en-US"/>
        </w:rPr>
        <w:t xml:space="preserve"> a requirement for all FI clients to </w:t>
      </w:r>
      <w:r w:rsidRPr="002318DC">
        <w:rPr>
          <w:rStyle w:val="None"/>
          <w:rFonts w:asciiTheme="minorHAnsi" w:hAnsiTheme="minorHAnsi" w:cstheme="minorHAnsi"/>
          <w:b/>
          <w:bCs/>
          <w:sz w:val="22"/>
          <w:szCs w:val="22"/>
          <w:u w:color="000000"/>
          <w:lang w:val="en-US"/>
        </w:rPr>
        <w:t>track and disclose coal and other fossil fuel investments</w:t>
      </w:r>
      <w:r w:rsidR="00135F8C">
        <w:rPr>
          <w:rStyle w:val="None"/>
          <w:rFonts w:asciiTheme="minorHAnsi" w:hAnsiTheme="minorHAnsi" w:cstheme="minorHAnsi"/>
          <w:b/>
          <w:bCs/>
          <w:sz w:val="22"/>
          <w:szCs w:val="22"/>
          <w:u w:color="000000"/>
          <w:lang w:val="en-US"/>
        </w:rPr>
        <w:t>;</w:t>
      </w:r>
    </w:p>
    <w:p w14:paraId="371B0C4A" w14:textId="22E57D75" w:rsidR="003C3C7B" w:rsidRPr="002318DC" w:rsidRDefault="003C3C7B" w:rsidP="002318DC">
      <w:pPr>
        <w:pStyle w:val="BodyA"/>
        <w:numPr>
          <w:ilvl w:val="0"/>
          <w:numId w:val="7"/>
        </w:numPr>
        <w:spacing w:after="80" w:line="276" w:lineRule="auto"/>
        <w:rPr>
          <w:rFonts w:asciiTheme="minorHAnsi" w:hAnsiTheme="minorHAnsi" w:cstheme="minorHAnsi"/>
        </w:rPr>
      </w:pPr>
      <w:r w:rsidRPr="002318DC">
        <w:rPr>
          <w:rStyle w:val="None"/>
          <w:rFonts w:asciiTheme="minorHAnsi" w:hAnsiTheme="minorHAnsi" w:cstheme="minorHAnsi"/>
        </w:rPr>
        <w:t>Ensure</w:t>
      </w:r>
      <w:r w:rsidR="00D6004A" w:rsidRPr="002318DC">
        <w:rPr>
          <w:rStyle w:val="None"/>
          <w:rFonts w:asciiTheme="minorHAnsi" w:hAnsiTheme="minorHAnsi" w:cstheme="minorHAnsi"/>
        </w:rPr>
        <w:t>s</w:t>
      </w:r>
      <w:r w:rsidRPr="002318DC">
        <w:rPr>
          <w:rStyle w:val="None"/>
          <w:rFonts w:asciiTheme="minorHAnsi" w:hAnsiTheme="minorHAnsi" w:cstheme="minorHAnsi"/>
        </w:rPr>
        <w:t xml:space="preserve"> that none of its investments results in an </w:t>
      </w:r>
      <w:r w:rsidRPr="002318DC">
        <w:rPr>
          <w:rStyle w:val="None"/>
          <w:rFonts w:asciiTheme="minorHAnsi" w:hAnsiTheme="minorHAnsi" w:cstheme="minorHAnsi"/>
          <w:b/>
        </w:rPr>
        <w:t>increase in coal use</w:t>
      </w:r>
      <w:r w:rsidRPr="002318DC">
        <w:rPr>
          <w:rStyle w:val="None"/>
          <w:rFonts w:asciiTheme="minorHAnsi" w:hAnsiTheme="minorHAnsi" w:cstheme="minorHAnsi"/>
        </w:rPr>
        <w:t xml:space="preserve">: whether for power generation or industrial uses, </w:t>
      </w:r>
      <w:r w:rsidR="00135F8C">
        <w:rPr>
          <w:rStyle w:val="None"/>
          <w:rFonts w:asciiTheme="minorHAnsi" w:hAnsiTheme="minorHAnsi" w:cstheme="minorHAnsi"/>
        </w:rPr>
        <w:t>or for</w:t>
      </w:r>
      <w:r w:rsidR="00135F8C" w:rsidRPr="002318DC">
        <w:rPr>
          <w:rStyle w:val="None"/>
          <w:rFonts w:asciiTheme="minorHAnsi" w:hAnsiTheme="minorHAnsi" w:cstheme="minorHAnsi"/>
        </w:rPr>
        <w:t xml:space="preserve"> </w:t>
      </w:r>
      <w:r w:rsidRPr="002318DC">
        <w:rPr>
          <w:rStyle w:val="None"/>
          <w:rFonts w:asciiTheme="minorHAnsi" w:hAnsiTheme="minorHAnsi" w:cstheme="minorHAnsi"/>
        </w:rPr>
        <w:t>associated facilities such as transmission lines and rail- ways or ports primarily meant for the transportation of coal;</w:t>
      </w:r>
    </w:p>
    <w:p w14:paraId="23B34B73" w14:textId="717AA4C7" w:rsidR="003C3C7B" w:rsidRPr="002318DC" w:rsidRDefault="003C3C7B" w:rsidP="002318DC">
      <w:pPr>
        <w:pStyle w:val="BodyA"/>
        <w:numPr>
          <w:ilvl w:val="0"/>
          <w:numId w:val="7"/>
        </w:numPr>
        <w:spacing w:after="80" w:line="276" w:lineRule="auto"/>
        <w:rPr>
          <w:rFonts w:asciiTheme="minorHAnsi" w:hAnsiTheme="minorHAnsi" w:cstheme="minorHAnsi"/>
        </w:rPr>
      </w:pPr>
      <w:r w:rsidRPr="002318DC">
        <w:rPr>
          <w:rStyle w:val="None"/>
          <w:rFonts w:asciiTheme="minorHAnsi" w:hAnsiTheme="minorHAnsi" w:cstheme="minorHAnsi"/>
          <w:b/>
        </w:rPr>
        <w:t>Exclude</w:t>
      </w:r>
      <w:r w:rsidR="00D6004A" w:rsidRPr="002318DC">
        <w:rPr>
          <w:rStyle w:val="None"/>
          <w:rFonts w:asciiTheme="minorHAnsi" w:hAnsiTheme="minorHAnsi" w:cstheme="minorHAnsi"/>
          <w:b/>
        </w:rPr>
        <w:t>s</w:t>
      </w:r>
      <w:r w:rsidRPr="002318DC">
        <w:rPr>
          <w:rStyle w:val="None"/>
          <w:rFonts w:asciiTheme="minorHAnsi" w:hAnsiTheme="minorHAnsi" w:cstheme="minorHAnsi"/>
          <w:b/>
        </w:rPr>
        <w:t xml:space="preserve"> upstream oil and gas</w:t>
      </w:r>
      <w:r w:rsidRPr="002318DC">
        <w:rPr>
          <w:rStyle w:val="None"/>
          <w:rFonts w:asciiTheme="minorHAnsi" w:hAnsiTheme="minorHAnsi" w:cstheme="minorHAnsi"/>
        </w:rPr>
        <w:t>;</w:t>
      </w:r>
    </w:p>
    <w:p w14:paraId="30624914" w14:textId="2DED2D94" w:rsidR="003C3C7B" w:rsidRPr="002318DC" w:rsidRDefault="00D6004A" w:rsidP="002318DC">
      <w:pPr>
        <w:pStyle w:val="BodyA"/>
        <w:numPr>
          <w:ilvl w:val="0"/>
          <w:numId w:val="7"/>
        </w:numPr>
        <w:spacing w:after="80" w:line="276" w:lineRule="auto"/>
        <w:rPr>
          <w:rFonts w:asciiTheme="minorHAnsi" w:hAnsiTheme="minorHAnsi" w:cstheme="minorHAnsi"/>
        </w:rPr>
      </w:pPr>
      <w:r w:rsidRPr="002318DC">
        <w:rPr>
          <w:rStyle w:val="None"/>
          <w:rFonts w:asciiTheme="minorHAnsi" w:hAnsiTheme="minorHAnsi" w:cstheme="minorHAnsi"/>
        </w:rPr>
        <w:t>Does not</w:t>
      </w:r>
      <w:r w:rsidR="003C3C7B" w:rsidRPr="002318DC">
        <w:rPr>
          <w:rStyle w:val="None"/>
          <w:rFonts w:asciiTheme="minorHAnsi" w:hAnsiTheme="minorHAnsi" w:cstheme="minorHAnsi"/>
        </w:rPr>
        <w:t xml:space="preserve"> invest in clients with more than </w:t>
      </w:r>
      <w:r w:rsidR="003C3C7B" w:rsidRPr="002318DC">
        <w:rPr>
          <w:rStyle w:val="None"/>
          <w:rFonts w:asciiTheme="minorHAnsi" w:hAnsiTheme="minorHAnsi" w:cstheme="minorHAnsi"/>
          <w:b/>
        </w:rPr>
        <w:t>5% portfolio exposure to coal</w:t>
      </w:r>
      <w:r w:rsidR="00981850" w:rsidRPr="002318DC">
        <w:rPr>
          <w:rStyle w:val="None"/>
          <w:rFonts w:asciiTheme="minorHAnsi" w:hAnsiTheme="minorHAnsi" w:cstheme="minorHAnsi"/>
        </w:rPr>
        <w:t>;</w:t>
      </w:r>
    </w:p>
    <w:p w14:paraId="667D324D" w14:textId="4C766C33" w:rsidR="00E93DCB" w:rsidRPr="003C4A46" w:rsidRDefault="003C3C7B" w:rsidP="00CC035D">
      <w:pPr>
        <w:pStyle w:val="BodyA"/>
        <w:numPr>
          <w:ilvl w:val="0"/>
          <w:numId w:val="7"/>
        </w:numPr>
        <w:spacing w:after="80" w:line="276" w:lineRule="auto"/>
        <w:rPr>
          <w:rFonts w:asciiTheme="minorHAnsi" w:hAnsiTheme="minorHAnsi" w:cstheme="minorHAnsi"/>
        </w:rPr>
      </w:pPr>
      <w:r w:rsidRPr="002318DC">
        <w:rPr>
          <w:rStyle w:val="None"/>
          <w:rFonts w:asciiTheme="minorHAnsi" w:hAnsiTheme="minorHAnsi" w:cstheme="minorHAnsi"/>
        </w:rPr>
        <w:t>Invest</w:t>
      </w:r>
      <w:r w:rsidR="00D6004A" w:rsidRPr="002318DC">
        <w:rPr>
          <w:rStyle w:val="None"/>
          <w:rFonts w:asciiTheme="minorHAnsi" w:hAnsiTheme="minorHAnsi" w:cstheme="minorHAnsi"/>
        </w:rPr>
        <w:t>s</w:t>
      </w:r>
      <w:r w:rsidRPr="002318DC">
        <w:rPr>
          <w:rStyle w:val="None"/>
          <w:rFonts w:asciiTheme="minorHAnsi" w:hAnsiTheme="minorHAnsi" w:cstheme="minorHAnsi"/>
        </w:rPr>
        <w:t xml:space="preserve"> only in FI clients who commit to develop a </w:t>
      </w:r>
      <w:r w:rsidRPr="002318DC">
        <w:rPr>
          <w:rStyle w:val="None"/>
          <w:rFonts w:asciiTheme="minorHAnsi" w:hAnsiTheme="minorHAnsi" w:cstheme="minorHAnsi"/>
          <w:b/>
        </w:rPr>
        <w:t xml:space="preserve">portfolio </w:t>
      </w:r>
      <w:proofErr w:type="spellStart"/>
      <w:r w:rsidRPr="002318DC">
        <w:rPr>
          <w:rStyle w:val="None"/>
          <w:rFonts w:asciiTheme="minorHAnsi" w:hAnsiTheme="minorHAnsi" w:cstheme="minorHAnsi"/>
          <w:b/>
        </w:rPr>
        <w:t>decarbonisation</w:t>
      </w:r>
      <w:proofErr w:type="spellEnd"/>
      <w:r w:rsidRPr="002318DC">
        <w:rPr>
          <w:rStyle w:val="None"/>
          <w:rFonts w:asciiTheme="minorHAnsi" w:hAnsiTheme="minorHAnsi" w:cstheme="minorHAnsi"/>
          <w:b/>
        </w:rPr>
        <w:t xml:space="preserve"> plan</w:t>
      </w:r>
      <w:r w:rsidRPr="002318DC">
        <w:rPr>
          <w:rStyle w:val="None"/>
          <w:rFonts w:asciiTheme="minorHAnsi" w:hAnsiTheme="minorHAnsi" w:cstheme="minorHAnsi"/>
        </w:rPr>
        <w:t xml:space="preserve"> to achieve emissions reductions in line with targets set under the Paris Climate Agreement</w:t>
      </w:r>
    </w:p>
    <w:p w14:paraId="46D8A004" w14:textId="444B3834" w:rsidR="000D72C2" w:rsidRPr="002318DC" w:rsidRDefault="000D72C2" w:rsidP="002318DC">
      <w:pPr>
        <w:pStyle w:val="ListParagraph"/>
        <w:numPr>
          <w:ilvl w:val="0"/>
          <w:numId w:val="3"/>
        </w:numPr>
        <w:spacing w:line="276" w:lineRule="auto"/>
        <w:rPr>
          <w:rFonts w:asciiTheme="minorHAnsi" w:hAnsiTheme="minorHAnsi" w:cstheme="minorHAnsi"/>
          <w:b/>
          <w:color w:val="4472C4" w:themeColor="accent1"/>
          <w:sz w:val="22"/>
          <w:szCs w:val="22"/>
        </w:rPr>
      </w:pPr>
      <w:r w:rsidRPr="002318DC">
        <w:rPr>
          <w:rFonts w:asciiTheme="minorHAnsi" w:hAnsiTheme="minorHAnsi" w:cstheme="minorHAnsi"/>
          <w:b/>
          <w:color w:val="4472C4" w:themeColor="accent1"/>
          <w:sz w:val="22"/>
          <w:szCs w:val="22"/>
        </w:rPr>
        <w:lastRenderedPageBreak/>
        <w:t>Transparency</w:t>
      </w:r>
    </w:p>
    <w:p w14:paraId="7F7F97EF" w14:textId="77777777" w:rsidR="000D72C2" w:rsidRPr="002318DC" w:rsidRDefault="000D72C2" w:rsidP="002318DC">
      <w:pPr>
        <w:spacing w:line="276" w:lineRule="auto"/>
        <w:rPr>
          <w:rFonts w:asciiTheme="minorHAnsi" w:hAnsiTheme="minorHAnsi" w:cstheme="minorHAnsi"/>
          <w:b/>
          <w:color w:val="000000" w:themeColor="text1"/>
          <w:sz w:val="22"/>
          <w:szCs w:val="22"/>
        </w:rPr>
      </w:pPr>
    </w:p>
    <w:p w14:paraId="5CF4ADE6" w14:textId="77777777" w:rsidR="00B47024" w:rsidRPr="002318DC" w:rsidRDefault="000D72C2" w:rsidP="002318DC">
      <w:pPr>
        <w:spacing w:line="276" w:lineRule="auto"/>
        <w:rPr>
          <w:rFonts w:asciiTheme="minorHAnsi" w:hAnsiTheme="minorHAnsi" w:cstheme="minorHAnsi"/>
          <w:color w:val="000000" w:themeColor="text1"/>
          <w:sz w:val="22"/>
          <w:szCs w:val="22"/>
          <w:shd w:val="clear" w:color="auto" w:fill="FFFFFF"/>
        </w:rPr>
      </w:pPr>
      <w:r w:rsidRPr="002318DC">
        <w:rPr>
          <w:rFonts w:asciiTheme="minorHAnsi" w:hAnsiTheme="minorHAnsi" w:cstheme="minorHAnsi"/>
          <w:color w:val="000000" w:themeColor="text1"/>
          <w:sz w:val="22"/>
          <w:szCs w:val="22"/>
        </w:rPr>
        <w:t xml:space="preserve">International financial institutions recognise the importance of transparency not only in improving accountability to shareholders and citizens, but in helping to avoid and manage risk. </w:t>
      </w:r>
      <w:r w:rsidR="00B47024" w:rsidRPr="002318DC">
        <w:rPr>
          <w:rFonts w:asciiTheme="minorHAnsi" w:hAnsiTheme="minorHAnsi" w:cstheme="minorHAnsi"/>
          <w:color w:val="000000" w:themeColor="text1"/>
          <w:sz w:val="22"/>
          <w:szCs w:val="22"/>
        </w:rPr>
        <w:t xml:space="preserve">AIIB President </w:t>
      </w:r>
      <w:proofErr w:type="spellStart"/>
      <w:r w:rsidR="00B47024" w:rsidRPr="002318DC">
        <w:rPr>
          <w:rFonts w:asciiTheme="minorHAnsi" w:hAnsiTheme="minorHAnsi" w:cstheme="minorHAnsi"/>
          <w:color w:val="000000" w:themeColor="text1"/>
          <w:sz w:val="22"/>
          <w:szCs w:val="22"/>
        </w:rPr>
        <w:t>Jin</w:t>
      </w:r>
      <w:proofErr w:type="spellEnd"/>
      <w:r w:rsidR="00B47024" w:rsidRPr="002318DC">
        <w:rPr>
          <w:rFonts w:asciiTheme="minorHAnsi" w:hAnsiTheme="minorHAnsi" w:cstheme="minorHAnsi"/>
          <w:color w:val="000000" w:themeColor="text1"/>
          <w:sz w:val="22"/>
          <w:szCs w:val="22"/>
        </w:rPr>
        <w:t xml:space="preserve"> </w:t>
      </w:r>
      <w:proofErr w:type="spellStart"/>
      <w:r w:rsidR="00B47024" w:rsidRPr="002318DC">
        <w:rPr>
          <w:rFonts w:asciiTheme="minorHAnsi" w:hAnsiTheme="minorHAnsi" w:cstheme="minorHAnsi"/>
          <w:color w:val="000000" w:themeColor="text1"/>
          <w:sz w:val="22"/>
          <w:szCs w:val="22"/>
        </w:rPr>
        <w:t>Liqun</w:t>
      </w:r>
      <w:proofErr w:type="spellEnd"/>
      <w:r w:rsidR="00B47024" w:rsidRPr="002318DC">
        <w:rPr>
          <w:rFonts w:asciiTheme="minorHAnsi" w:hAnsiTheme="minorHAnsi" w:cstheme="minorHAnsi"/>
          <w:color w:val="000000" w:themeColor="text1"/>
          <w:sz w:val="22"/>
          <w:szCs w:val="22"/>
        </w:rPr>
        <w:t xml:space="preserve"> has stated: </w:t>
      </w:r>
      <w:r w:rsidR="00B47024" w:rsidRPr="002318DC">
        <w:rPr>
          <w:rFonts w:asciiTheme="minorHAnsi" w:hAnsiTheme="minorHAnsi" w:cstheme="minorHAnsi"/>
          <w:color w:val="000000" w:themeColor="text1"/>
          <w:sz w:val="22"/>
          <w:szCs w:val="22"/>
          <w:shd w:val="clear" w:color="auto" w:fill="FFFFFF"/>
        </w:rPr>
        <w:t>"Transparency and accountability are the two main pillars of AIIB’s governance."</w:t>
      </w:r>
    </w:p>
    <w:p w14:paraId="31C036FC" w14:textId="77777777" w:rsidR="00B47024" w:rsidRPr="002318DC" w:rsidRDefault="00B47024" w:rsidP="002318DC">
      <w:pPr>
        <w:spacing w:line="276" w:lineRule="auto"/>
        <w:rPr>
          <w:rFonts w:asciiTheme="minorHAnsi" w:hAnsiTheme="minorHAnsi" w:cstheme="minorHAnsi"/>
          <w:color w:val="000000" w:themeColor="text1"/>
          <w:sz w:val="22"/>
          <w:szCs w:val="22"/>
          <w:shd w:val="clear" w:color="auto" w:fill="FFFFFF"/>
        </w:rPr>
      </w:pPr>
    </w:p>
    <w:p w14:paraId="360A20A3" w14:textId="77777777" w:rsidR="00151184" w:rsidRPr="002318DC" w:rsidRDefault="000D72C2" w:rsidP="002318DC">
      <w:pPr>
        <w:spacing w:line="276" w:lineRule="auto"/>
        <w:rPr>
          <w:rFonts w:asciiTheme="minorHAnsi" w:hAnsiTheme="minorHAnsi" w:cstheme="minorHAnsi"/>
          <w:color w:val="000000" w:themeColor="text1"/>
          <w:sz w:val="22"/>
          <w:szCs w:val="22"/>
        </w:rPr>
      </w:pPr>
      <w:r w:rsidRPr="002318DC">
        <w:rPr>
          <w:rFonts w:asciiTheme="minorHAnsi" w:hAnsiTheme="minorHAnsi" w:cstheme="minorHAnsi"/>
          <w:color w:val="000000" w:themeColor="text1"/>
          <w:sz w:val="22"/>
          <w:szCs w:val="22"/>
        </w:rPr>
        <w:t>Transparency has been a particular challenge in financial intermediary lending, given the longer chain from investor to project; conversely, transparency is all the more important in this type of lending given its higher risk profile.</w:t>
      </w:r>
      <w:r w:rsidR="00151184" w:rsidRPr="002318DC">
        <w:rPr>
          <w:rFonts w:asciiTheme="minorHAnsi" w:hAnsiTheme="minorHAnsi" w:cstheme="minorHAnsi"/>
          <w:color w:val="000000" w:themeColor="text1"/>
          <w:sz w:val="22"/>
          <w:szCs w:val="22"/>
        </w:rPr>
        <w:t xml:space="preserve"> When risks are spotted early on, they are more easily avoided or mitigated, leading to better project outcomes and lower reputational risk.</w:t>
      </w:r>
    </w:p>
    <w:p w14:paraId="3D92E4CE" w14:textId="77777777" w:rsidR="00151184" w:rsidRPr="002318DC" w:rsidRDefault="00151184" w:rsidP="002318DC">
      <w:pPr>
        <w:spacing w:line="276" w:lineRule="auto"/>
        <w:rPr>
          <w:rFonts w:asciiTheme="minorHAnsi" w:hAnsiTheme="minorHAnsi" w:cstheme="minorHAnsi"/>
          <w:color w:val="000000" w:themeColor="text1"/>
          <w:sz w:val="22"/>
          <w:szCs w:val="22"/>
        </w:rPr>
      </w:pPr>
    </w:p>
    <w:p w14:paraId="476099A3" w14:textId="77777777" w:rsidR="000D72C2" w:rsidRPr="002318DC" w:rsidRDefault="00751DF3" w:rsidP="002318DC">
      <w:pPr>
        <w:spacing w:line="276" w:lineRule="auto"/>
        <w:rPr>
          <w:rFonts w:asciiTheme="minorHAnsi" w:hAnsiTheme="minorHAnsi" w:cstheme="minorHAnsi"/>
          <w:i/>
          <w:color w:val="000000" w:themeColor="text1"/>
          <w:sz w:val="22"/>
          <w:szCs w:val="22"/>
        </w:rPr>
      </w:pPr>
      <w:r w:rsidRPr="002318DC">
        <w:rPr>
          <w:rFonts w:asciiTheme="minorHAnsi" w:hAnsiTheme="minorHAnsi" w:cstheme="minorHAnsi"/>
          <w:i/>
          <w:color w:val="000000" w:themeColor="text1"/>
          <w:sz w:val="22"/>
          <w:szCs w:val="22"/>
        </w:rPr>
        <w:t>Examples</w:t>
      </w:r>
      <w:r w:rsidR="00151184" w:rsidRPr="002318DC">
        <w:rPr>
          <w:rFonts w:asciiTheme="minorHAnsi" w:hAnsiTheme="minorHAnsi" w:cstheme="minorHAnsi"/>
          <w:i/>
          <w:color w:val="000000" w:themeColor="text1"/>
          <w:sz w:val="22"/>
          <w:szCs w:val="22"/>
        </w:rPr>
        <w:t xml:space="preserve"> of current good practice</w:t>
      </w:r>
      <w:r w:rsidR="00C0441E" w:rsidRPr="002318DC">
        <w:rPr>
          <w:rFonts w:asciiTheme="minorHAnsi" w:hAnsiTheme="minorHAnsi" w:cstheme="minorHAnsi"/>
          <w:i/>
          <w:color w:val="000000" w:themeColor="text1"/>
          <w:sz w:val="22"/>
          <w:szCs w:val="22"/>
        </w:rPr>
        <w:t>:</w:t>
      </w:r>
    </w:p>
    <w:p w14:paraId="5FF2E425" w14:textId="77777777" w:rsidR="00C0441E" w:rsidRPr="002318DC" w:rsidRDefault="00C0441E" w:rsidP="002318DC">
      <w:pPr>
        <w:spacing w:line="276" w:lineRule="auto"/>
        <w:rPr>
          <w:rFonts w:asciiTheme="minorHAnsi" w:hAnsiTheme="minorHAnsi" w:cstheme="minorHAnsi"/>
          <w:color w:val="000000" w:themeColor="text1"/>
          <w:sz w:val="22"/>
          <w:szCs w:val="22"/>
        </w:rPr>
      </w:pPr>
    </w:p>
    <w:p w14:paraId="1DBDD3D5" w14:textId="166ECE66" w:rsidR="00010640" w:rsidRPr="002318DC" w:rsidRDefault="00660FA3" w:rsidP="002318DC">
      <w:pPr>
        <w:spacing w:line="276"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The </w:t>
      </w:r>
      <w:r w:rsidR="00010640" w:rsidRPr="002318DC">
        <w:rPr>
          <w:rFonts w:asciiTheme="minorHAnsi" w:hAnsiTheme="minorHAnsi" w:cstheme="minorHAnsi"/>
          <w:b/>
          <w:color w:val="000000" w:themeColor="text1"/>
          <w:sz w:val="22"/>
          <w:szCs w:val="22"/>
        </w:rPr>
        <w:t>Green Climate Fund</w:t>
      </w:r>
    </w:p>
    <w:p w14:paraId="08325702" w14:textId="77777777" w:rsidR="00010640" w:rsidRPr="002318DC" w:rsidRDefault="00010640" w:rsidP="002318DC">
      <w:pPr>
        <w:spacing w:line="276" w:lineRule="auto"/>
        <w:rPr>
          <w:rFonts w:asciiTheme="minorHAnsi" w:hAnsiTheme="minorHAnsi" w:cstheme="minorHAnsi"/>
          <w:b/>
          <w:color w:val="000000" w:themeColor="text1"/>
          <w:sz w:val="22"/>
          <w:szCs w:val="22"/>
        </w:rPr>
      </w:pPr>
    </w:p>
    <w:p w14:paraId="7BAFF8C8" w14:textId="3C1E65A5" w:rsidR="00010640" w:rsidRPr="002318DC" w:rsidRDefault="00010640" w:rsidP="002318DC">
      <w:pPr>
        <w:spacing w:line="276" w:lineRule="auto"/>
        <w:rPr>
          <w:rFonts w:asciiTheme="minorHAnsi" w:hAnsiTheme="minorHAnsi" w:cstheme="minorHAnsi"/>
          <w:color w:val="000000" w:themeColor="text1"/>
          <w:sz w:val="22"/>
          <w:szCs w:val="22"/>
        </w:rPr>
      </w:pPr>
      <w:r w:rsidRPr="002318DC">
        <w:rPr>
          <w:rFonts w:asciiTheme="minorHAnsi" w:hAnsiTheme="minorHAnsi" w:cstheme="minorHAnsi"/>
          <w:color w:val="000000" w:themeColor="text1"/>
          <w:sz w:val="22"/>
          <w:szCs w:val="22"/>
        </w:rPr>
        <w:t xml:space="preserve">The Green Climate Fund </w:t>
      </w:r>
      <w:r w:rsidR="00D950D0">
        <w:rPr>
          <w:rFonts w:asciiTheme="minorHAnsi" w:hAnsiTheme="minorHAnsi" w:cstheme="minorHAnsi"/>
          <w:color w:val="000000" w:themeColor="text1"/>
          <w:sz w:val="22"/>
          <w:szCs w:val="22"/>
        </w:rPr>
        <w:t xml:space="preserve">(GCF) </w:t>
      </w:r>
      <w:r w:rsidRPr="002318DC">
        <w:rPr>
          <w:rFonts w:asciiTheme="minorHAnsi" w:hAnsiTheme="minorHAnsi" w:cstheme="minorHAnsi"/>
          <w:color w:val="000000" w:themeColor="text1"/>
          <w:sz w:val="22"/>
          <w:szCs w:val="22"/>
        </w:rPr>
        <w:t>is a highly relevant institution for the purposes of comparison with the AIIB’s financial intermediary lending, since 100 per cent of its lending is carried out through intermediaries (or as the GCF calls them ‘Accredited Entities’)</w:t>
      </w:r>
      <w:r w:rsidR="00135F8C">
        <w:rPr>
          <w:rFonts w:asciiTheme="minorHAnsi" w:hAnsiTheme="minorHAnsi" w:cstheme="minorHAnsi"/>
          <w:color w:val="000000" w:themeColor="text1"/>
          <w:sz w:val="22"/>
          <w:szCs w:val="22"/>
        </w:rPr>
        <w:t>.</w:t>
      </w:r>
      <w:r w:rsidRPr="002318DC">
        <w:rPr>
          <w:rFonts w:asciiTheme="minorHAnsi" w:hAnsiTheme="minorHAnsi" w:cstheme="minorHAnsi"/>
          <w:color w:val="000000" w:themeColor="text1"/>
          <w:sz w:val="22"/>
          <w:szCs w:val="22"/>
        </w:rPr>
        <w:t xml:space="preserve"> The GCF </w:t>
      </w:r>
      <w:r w:rsidR="00572599" w:rsidRPr="002318DC">
        <w:rPr>
          <w:rFonts w:asciiTheme="minorHAnsi" w:hAnsiTheme="minorHAnsi" w:cstheme="minorHAnsi"/>
          <w:color w:val="000000" w:themeColor="text1"/>
          <w:sz w:val="22"/>
          <w:szCs w:val="22"/>
        </w:rPr>
        <w:t>has adopted</w:t>
      </w:r>
      <w:r w:rsidRPr="002318DC">
        <w:rPr>
          <w:rFonts w:asciiTheme="minorHAnsi" w:hAnsiTheme="minorHAnsi" w:cstheme="minorHAnsi"/>
          <w:color w:val="000000" w:themeColor="text1"/>
          <w:sz w:val="22"/>
          <w:szCs w:val="22"/>
        </w:rPr>
        <w:t xml:space="preserve"> a high degree of disclosure in line with </w:t>
      </w:r>
      <w:r w:rsidR="00572599" w:rsidRPr="002318DC">
        <w:rPr>
          <w:rFonts w:asciiTheme="minorHAnsi" w:hAnsiTheme="minorHAnsi" w:cstheme="minorHAnsi"/>
          <w:color w:val="000000" w:themeColor="text1"/>
          <w:sz w:val="22"/>
          <w:szCs w:val="22"/>
        </w:rPr>
        <w:t>international</w:t>
      </w:r>
      <w:r w:rsidRPr="002318DC">
        <w:rPr>
          <w:rFonts w:asciiTheme="minorHAnsi" w:hAnsiTheme="minorHAnsi" w:cstheme="minorHAnsi"/>
          <w:color w:val="000000" w:themeColor="text1"/>
          <w:sz w:val="22"/>
          <w:szCs w:val="22"/>
        </w:rPr>
        <w:t xml:space="preserve"> best practice, including timebound disclosure of crucial project information – such as environmental and social impact assessments – ahead of approval. The degree and timing of disclosure is calibrated according to the risk profile of the investment: with more and better disclosure for the highest risk (Category A)</w:t>
      </w:r>
      <w:r w:rsidR="00B05077" w:rsidRPr="002318DC">
        <w:rPr>
          <w:rFonts w:asciiTheme="minorHAnsi" w:hAnsiTheme="minorHAnsi" w:cstheme="minorHAnsi"/>
          <w:color w:val="000000" w:themeColor="text1"/>
          <w:sz w:val="22"/>
          <w:szCs w:val="22"/>
        </w:rPr>
        <w:t>.</w:t>
      </w:r>
      <w:r w:rsidR="009C26A5" w:rsidRPr="002318DC">
        <w:rPr>
          <w:rFonts w:asciiTheme="minorHAnsi" w:hAnsiTheme="minorHAnsi" w:cstheme="minorHAnsi"/>
          <w:color w:val="000000" w:themeColor="text1"/>
          <w:sz w:val="22"/>
          <w:szCs w:val="22"/>
        </w:rPr>
        <w:t xml:space="preserve"> The following excerpts from its 2016 Information Disclosure Policy</w:t>
      </w:r>
      <w:r w:rsidR="003271B6" w:rsidRPr="002318DC">
        <w:rPr>
          <w:rFonts w:asciiTheme="minorHAnsi" w:hAnsiTheme="minorHAnsi" w:cstheme="minorHAnsi"/>
          <w:color w:val="000000" w:themeColor="text1"/>
          <w:sz w:val="22"/>
          <w:szCs w:val="22"/>
        </w:rPr>
        <w:t xml:space="preserve"> describe the degree of disclosure:</w:t>
      </w:r>
    </w:p>
    <w:p w14:paraId="2E023A90" w14:textId="77777777" w:rsidR="00010640" w:rsidRPr="002318DC" w:rsidRDefault="00010640" w:rsidP="002318DC">
      <w:pPr>
        <w:pStyle w:val="Default"/>
        <w:spacing w:line="276" w:lineRule="auto"/>
        <w:rPr>
          <w:rFonts w:asciiTheme="minorHAnsi" w:hAnsiTheme="minorHAnsi" w:cstheme="minorHAnsi"/>
          <w:color w:val="000000" w:themeColor="text1"/>
          <w:sz w:val="22"/>
          <w:szCs w:val="22"/>
        </w:rPr>
      </w:pPr>
    </w:p>
    <w:p w14:paraId="6904CAA2" w14:textId="77777777" w:rsidR="00135F8C" w:rsidRDefault="00010640" w:rsidP="002318DC">
      <w:pPr>
        <w:pStyle w:val="Default"/>
        <w:numPr>
          <w:ilvl w:val="2"/>
          <w:numId w:val="1"/>
        </w:numPr>
        <w:spacing w:after="176" w:line="276" w:lineRule="auto"/>
        <w:ind w:left="360"/>
        <w:rPr>
          <w:rFonts w:asciiTheme="minorHAnsi" w:eastAsia="Malgun Gothic" w:hAnsiTheme="minorHAnsi" w:cstheme="minorHAnsi"/>
          <w:color w:val="000000" w:themeColor="text1"/>
          <w:sz w:val="22"/>
          <w:szCs w:val="22"/>
        </w:rPr>
      </w:pPr>
      <w:r w:rsidRPr="002318DC">
        <w:rPr>
          <w:rFonts w:asciiTheme="minorHAnsi" w:hAnsiTheme="minorHAnsi" w:cstheme="minorHAnsi"/>
          <w:b/>
          <w:bCs/>
          <w:color w:val="000000" w:themeColor="text1"/>
          <w:sz w:val="22"/>
          <w:szCs w:val="22"/>
        </w:rPr>
        <w:t xml:space="preserve">“Environmental and social reports. </w:t>
      </w:r>
      <w:r w:rsidRPr="002318DC">
        <w:rPr>
          <w:rFonts w:asciiTheme="minorHAnsi" w:hAnsiTheme="minorHAnsi" w:cstheme="minorHAnsi"/>
          <w:color w:val="000000" w:themeColor="text1"/>
          <w:sz w:val="22"/>
          <w:szCs w:val="22"/>
        </w:rPr>
        <w:t xml:space="preserve">With respect to project and </w:t>
      </w:r>
      <w:proofErr w:type="spellStart"/>
      <w:r w:rsidRPr="002318DC">
        <w:rPr>
          <w:rFonts w:asciiTheme="minorHAnsi" w:hAnsiTheme="minorHAnsi" w:cstheme="minorHAnsi"/>
          <w:color w:val="000000" w:themeColor="text1"/>
          <w:sz w:val="22"/>
          <w:szCs w:val="22"/>
        </w:rPr>
        <w:t>programme</w:t>
      </w:r>
      <w:proofErr w:type="spellEnd"/>
      <w:r w:rsidRPr="002318DC">
        <w:rPr>
          <w:rFonts w:asciiTheme="minorHAnsi" w:hAnsiTheme="minorHAnsi" w:cstheme="minorHAnsi"/>
          <w:color w:val="000000" w:themeColor="text1"/>
          <w:sz w:val="22"/>
          <w:szCs w:val="22"/>
        </w:rPr>
        <w:t xml:space="preserve"> funding proposals that have an environmental or social impact, the Accredited Entities (AE</w:t>
      </w:r>
      <w:r w:rsidRPr="002318DC">
        <w:rPr>
          <w:rFonts w:asciiTheme="minorHAnsi" w:eastAsia="Malgun Gothic" w:hAnsiTheme="minorHAnsi" w:cstheme="minorHAnsi"/>
          <w:color w:val="000000" w:themeColor="text1"/>
          <w:sz w:val="22"/>
          <w:szCs w:val="22"/>
        </w:rPr>
        <w:t xml:space="preserve">’s) shall disclose and announce to the public and, via the Secretariat, to the Board and Active Observers: </w:t>
      </w:r>
    </w:p>
    <w:p w14:paraId="268D7E48" w14:textId="36E0CC27" w:rsidR="00010640" w:rsidRPr="002318DC" w:rsidRDefault="00010640" w:rsidP="002318DC">
      <w:pPr>
        <w:pStyle w:val="Default"/>
        <w:numPr>
          <w:ilvl w:val="2"/>
          <w:numId w:val="1"/>
        </w:numPr>
        <w:spacing w:after="176" w:line="276" w:lineRule="auto"/>
        <w:ind w:left="360"/>
        <w:rPr>
          <w:rFonts w:asciiTheme="minorHAnsi" w:eastAsia="Malgun Gothic" w:hAnsiTheme="minorHAnsi" w:cstheme="minorHAnsi"/>
          <w:color w:val="000000" w:themeColor="text1"/>
          <w:sz w:val="22"/>
          <w:szCs w:val="22"/>
        </w:rPr>
      </w:pPr>
      <w:r w:rsidRPr="002318DC">
        <w:rPr>
          <w:rFonts w:asciiTheme="minorHAnsi" w:eastAsia="Malgun Gothic" w:hAnsiTheme="minorHAnsi" w:cstheme="minorHAnsi"/>
          <w:color w:val="000000" w:themeColor="text1"/>
          <w:sz w:val="22"/>
          <w:szCs w:val="22"/>
        </w:rPr>
        <w:t xml:space="preserve">(a) in case of Category A projects, the Environmental and Social Impacts Assessment (ESIA) and an Environmental and Social Management Plan (ESMP) at least 120 days in advance of the AE’s or GCF’s Board decision, whichever is earlier; </w:t>
      </w:r>
    </w:p>
    <w:p w14:paraId="1D325894" w14:textId="392CFCAE" w:rsidR="00010640" w:rsidRPr="002318DC" w:rsidRDefault="00010640" w:rsidP="002318DC">
      <w:pPr>
        <w:pStyle w:val="Default"/>
        <w:numPr>
          <w:ilvl w:val="2"/>
          <w:numId w:val="1"/>
        </w:numPr>
        <w:spacing w:after="176" w:line="276" w:lineRule="auto"/>
        <w:ind w:left="360"/>
        <w:rPr>
          <w:rFonts w:asciiTheme="minorHAnsi" w:eastAsia="Malgun Gothic" w:hAnsiTheme="minorHAnsi" w:cstheme="minorHAnsi"/>
          <w:color w:val="000000" w:themeColor="text1"/>
          <w:sz w:val="22"/>
          <w:szCs w:val="22"/>
        </w:rPr>
      </w:pPr>
      <w:r w:rsidRPr="002318DC">
        <w:rPr>
          <w:rFonts w:asciiTheme="minorHAnsi" w:eastAsia="Malgun Gothic" w:hAnsiTheme="minorHAnsi" w:cstheme="minorHAnsi"/>
          <w:color w:val="000000" w:themeColor="text1"/>
          <w:sz w:val="22"/>
          <w:szCs w:val="22"/>
        </w:rPr>
        <w:t xml:space="preserve">“(b) in the case of Category I-1 </w:t>
      </w:r>
      <w:proofErr w:type="spellStart"/>
      <w:r w:rsidRPr="002318DC">
        <w:rPr>
          <w:rFonts w:asciiTheme="minorHAnsi" w:eastAsia="Malgun Gothic" w:hAnsiTheme="minorHAnsi" w:cstheme="minorHAnsi"/>
          <w:color w:val="000000" w:themeColor="text1"/>
          <w:sz w:val="22"/>
          <w:szCs w:val="22"/>
        </w:rPr>
        <w:t>programmes</w:t>
      </w:r>
      <w:proofErr w:type="spellEnd"/>
      <w:r w:rsidRPr="002318DC">
        <w:rPr>
          <w:rFonts w:asciiTheme="minorHAnsi" w:eastAsia="Malgun Gothic" w:hAnsiTheme="minorHAnsi" w:cstheme="minorHAnsi"/>
          <w:color w:val="000000" w:themeColor="text1"/>
          <w:sz w:val="22"/>
          <w:szCs w:val="22"/>
        </w:rPr>
        <w:t xml:space="preserve">, the Environmental and Social Management System (ESMS)2 at least 120 days in advance of the AE’s or GCF’s Board decision, whichever is earlier; </w:t>
      </w:r>
    </w:p>
    <w:p w14:paraId="2F7CDB61" w14:textId="399068E6" w:rsidR="00010640" w:rsidRPr="002318DC" w:rsidRDefault="00010640" w:rsidP="002318DC">
      <w:pPr>
        <w:pStyle w:val="Default"/>
        <w:numPr>
          <w:ilvl w:val="2"/>
          <w:numId w:val="1"/>
        </w:numPr>
        <w:spacing w:after="176" w:line="276" w:lineRule="auto"/>
        <w:ind w:left="360"/>
        <w:rPr>
          <w:rFonts w:asciiTheme="minorHAnsi" w:eastAsia="Malgun Gothic" w:hAnsiTheme="minorHAnsi" w:cstheme="minorHAnsi"/>
          <w:color w:val="000000" w:themeColor="text1"/>
          <w:sz w:val="22"/>
          <w:szCs w:val="22"/>
        </w:rPr>
      </w:pPr>
      <w:r w:rsidRPr="002318DC">
        <w:rPr>
          <w:rFonts w:asciiTheme="minorHAnsi" w:eastAsia="Malgun Gothic" w:hAnsiTheme="minorHAnsi" w:cstheme="minorHAnsi"/>
          <w:color w:val="000000" w:themeColor="text1"/>
          <w:sz w:val="22"/>
          <w:szCs w:val="22"/>
        </w:rPr>
        <w:t xml:space="preserve">“(c) in the case of Category B projects, the ESIA3 and an Environmental and Social Management Plan (ESMP)4 at least 30 days in advance of the AE’s or GCF’s Board decision, whichever is earlier; and </w:t>
      </w:r>
    </w:p>
    <w:p w14:paraId="63F8DD82" w14:textId="6B944044" w:rsidR="00010640" w:rsidRPr="002318DC" w:rsidRDefault="00010640" w:rsidP="002318DC">
      <w:pPr>
        <w:pStyle w:val="Default"/>
        <w:numPr>
          <w:ilvl w:val="2"/>
          <w:numId w:val="1"/>
        </w:numPr>
        <w:spacing w:line="276" w:lineRule="auto"/>
        <w:ind w:left="360"/>
        <w:rPr>
          <w:rFonts w:asciiTheme="minorHAnsi" w:eastAsia="Malgun Gothic" w:hAnsiTheme="minorHAnsi" w:cstheme="minorHAnsi"/>
          <w:color w:val="000000" w:themeColor="text1"/>
          <w:sz w:val="22"/>
          <w:szCs w:val="22"/>
        </w:rPr>
      </w:pPr>
      <w:r w:rsidRPr="002318DC">
        <w:rPr>
          <w:rFonts w:asciiTheme="minorHAnsi" w:eastAsia="Malgun Gothic" w:hAnsiTheme="minorHAnsi" w:cstheme="minorHAnsi"/>
          <w:color w:val="000000" w:themeColor="text1"/>
          <w:sz w:val="22"/>
          <w:szCs w:val="22"/>
        </w:rPr>
        <w:t xml:space="preserve">“(d) in the case of Category I-2 </w:t>
      </w:r>
      <w:proofErr w:type="spellStart"/>
      <w:r w:rsidRPr="002318DC">
        <w:rPr>
          <w:rFonts w:asciiTheme="minorHAnsi" w:eastAsia="Malgun Gothic" w:hAnsiTheme="minorHAnsi" w:cstheme="minorHAnsi"/>
          <w:color w:val="000000" w:themeColor="text1"/>
          <w:sz w:val="22"/>
          <w:szCs w:val="22"/>
        </w:rPr>
        <w:t>programmes</w:t>
      </w:r>
      <w:proofErr w:type="spellEnd"/>
      <w:r w:rsidRPr="002318DC">
        <w:rPr>
          <w:rFonts w:asciiTheme="minorHAnsi" w:eastAsia="Malgun Gothic" w:hAnsiTheme="minorHAnsi" w:cstheme="minorHAnsi"/>
          <w:color w:val="000000" w:themeColor="text1"/>
          <w:sz w:val="22"/>
          <w:szCs w:val="22"/>
        </w:rPr>
        <w:t xml:space="preserve">, the ESMS at least 30 days in advance of the AE’s or GCF’s Board decision, whichever is earlier.” </w:t>
      </w:r>
    </w:p>
    <w:p w14:paraId="24060DDD" w14:textId="77777777" w:rsidR="00B2555F" w:rsidRPr="002318DC" w:rsidRDefault="00B2555F" w:rsidP="002318DC">
      <w:pPr>
        <w:spacing w:line="276" w:lineRule="auto"/>
        <w:rPr>
          <w:rFonts w:asciiTheme="minorHAnsi" w:hAnsiTheme="minorHAnsi" w:cstheme="minorHAnsi"/>
          <w:color w:val="000000" w:themeColor="text1"/>
          <w:sz w:val="22"/>
          <w:szCs w:val="22"/>
        </w:rPr>
      </w:pPr>
    </w:p>
    <w:p w14:paraId="76375AB3" w14:textId="5C5D280F" w:rsidR="00B2555F" w:rsidRPr="002318DC" w:rsidRDefault="00135F8C" w:rsidP="002318DC">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00B2555F" w:rsidRPr="002318DC">
        <w:rPr>
          <w:rFonts w:asciiTheme="minorHAnsi" w:hAnsiTheme="minorHAnsi" w:cstheme="minorHAnsi"/>
          <w:color w:val="000000" w:themeColor="text1"/>
          <w:sz w:val="22"/>
          <w:szCs w:val="22"/>
        </w:rPr>
        <w:t>he GCF expects its conditions to be met</w:t>
      </w:r>
      <w:r>
        <w:rPr>
          <w:rFonts w:asciiTheme="minorHAnsi" w:hAnsiTheme="minorHAnsi" w:cstheme="minorHAnsi"/>
          <w:color w:val="000000" w:themeColor="text1"/>
          <w:sz w:val="22"/>
          <w:szCs w:val="22"/>
        </w:rPr>
        <w:t xml:space="preserve"> w</w:t>
      </w:r>
      <w:r w:rsidRPr="002318DC">
        <w:rPr>
          <w:rFonts w:asciiTheme="minorHAnsi" w:hAnsiTheme="minorHAnsi" w:cstheme="minorHAnsi"/>
          <w:color w:val="000000" w:themeColor="text1"/>
          <w:sz w:val="22"/>
          <w:szCs w:val="22"/>
        </w:rPr>
        <w:t>hen working with other multilaterals</w:t>
      </w:r>
      <w:r w:rsidR="00B2555F" w:rsidRPr="002318DC">
        <w:rPr>
          <w:rFonts w:asciiTheme="minorHAnsi" w:hAnsiTheme="minorHAnsi" w:cstheme="minorHAnsi"/>
          <w:color w:val="000000" w:themeColor="text1"/>
          <w:sz w:val="22"/>
          <w:szCs w:val="22"/>
        </w:rPr>
        <w:t>, raising the possibility of the AIIB being obliged to improve disclosure if it works with the GCF. For example, in the case of the GCF</w:t>
      </w:r>
      <w:r>
        <w:rPr>
          <w:rFonts w:asciiTheme="minorHAnsi" w:hAnsiTheme="minorHAnsi" w:cstheme="minorHAnsi"/>
          <w:color w:val="000000" w:themeColor="text1"/>
          <w:sz w:val="22"/>
          <w:szCs w:val="22"/>
        </w:rPr>
        <w:t>’s</w:t>
      </w:r>
      <w:r w:rsidR="00B2555F" w:rsidRPr="002318DC">
        <w:rPr>
          <w:rFonts w:asciiTheme="minorHAnsi" w:hAnsiTheme="minorHAnsi" w:cstheme="minorHAnsi"/>
          <w:color w:val="000000" w:themeColor="text1"/>
          <w:sz w:val="22"/>
          <w:szCs w:val="22"/>
        </w:rPr>
        <w:t xml:space="preserve"> involvement with the European Bank for Reconstruction and Development’s Green Cities Project, the GCF</w:t>
      </w:r>
      <w:r w:rsidR="008A5C72" w:rsidRPr="002318DC">
        <w:rPr>
          <w:rFonts w:asciiTheme="minorHAnsi" w:hAnsiTheme="minorHAnsi" w:cstheme="minorHAnsi"/>
          <w:color w:val="000000" w:themeColor="text1"/>
          <w:sz w:val="22"/>
          <w:szCs w:val="22"/>
        </w:rPr>
        <w:t>’s</w:t>
      </w:r>
      <w:r w:rsidR="00B2555F" w:rsidRPr="002318DC">
        <w:rPr>
          <w:rFonts w:asciiTheme="minorHAnsi" w:hAnsiTheme="minorHAnsi" w:cstheme="minorHAnsi"/>
          <w:color w:val="000000" w:themeColor="text1"/>
          <w:sz w:val="22"/>
          <w:szCs w:val="22"/>
        </w:rPr>
        <w:t xml:space="preserve"> </w:t>
      </w:r>
      <w:r w:rsidR="008A5C72" w:rsidRPr="002318DC">
        <w:rPr>
          <w:rFonts w:asciiTheme="minorHAnsi" w:hAnsiTheme="minorHAnsi" w:cstheme="minorHAnsi"/>
          <w:color w:val="000000" w:themeColor="text1"/>
          <w:sz w:val="22"/>
          <w:szCs w:val="22"/>
        </w:rPr>
        <w:t xml:space="preserve">Board </w:t>
      </w:r>
      <w:r w:rsidR="00B2555F" w:rsidRPr="002318DC">
        <w:rPr>
          <w:rFonts w:asciiTheme="minorHAnsi" w:hAnsiTheme="minorHAnsi" w:cstheme="minorHAnsi"/>
          <w:color w:val="000000" w:themeColor="text1"/>
          <w:sz w:val="22"/>
          <w:szCs w:val="22"/>
        </w:rPr>
        <w:t>stipulate</w:t>
      </w:r>
      <w:r w:rsidR="00BC66D3" w:rsidRPr="002318DC">
        <w:rPr>
          <w:rFonts w:asciiTheme="minorHAnsi" w:hAnsiTheme="minorHAnsi" w:cstheme="minorHAnsi"/>
          <w:color w:val="000000" w:themeColor="text1"/>
          <w:sz w:val="22"/>
          <w:szCs w:val="22"/>
        </w:rPr>
        <w:t>d</w:t>
      </w:r>
      <w:r w:rsidR="008A5C72" w:rsidRPr="002318DC">
        <w:rPr>
          <w:rFonts w:asciiTheme="minorHAnsi" w:hAnsiTheme="minorHAnsi" w:cstheme="minorHAnsi"/>
          <w:color w:val="000000" w:themeColor="text1"/>
          <w:sz w:val="22"/>
          <w:szCs w:val="22"/>
        </w:rPr>
        <w:t xml:space="preserve"> additional conditions</w:t>
      </w:r>
      <w:r w:rsidR="00B2555F" w:rsidRPr="002318DC">
        <w:rPr>
          <w:rFonts w:asciiTheme="minorHAnsi" w:hAnsiTheme="minorHAnsi" w:cstheme="minorHAnsi"/>
          <w:color w:val="000000" w:themeColor="text1"/>
          <w:sz w:val="22"/>
          <w:szCs w:val="22"/>
        </w:rPr>
        <w:t>:</w:t>
      </w:r>
    </w:p>
    <w:p w14:paraId="048E08CE" w14:textId="77777777" w:rsidR="00927F5F" w:rsidRPr="002318DC" w:rsidRDefault="00927F5F" w:rsidP="002318DC">
      <w:pPr>
        <w:spacing w:line="276" w:lineRule="auto"/>
        <w:rPr>
          <w:rFonts w:asciiTheme="minorHAnsi" w:hAnsiTheme="minorHAnsi" w:cstheme="minorHAnsi"/>
          <w:color w:val="000000" w:themeColor="text1"/>
          <w:sz w:val="22"/>
          <w:szCs w:val="22"/>
        </w:rPr>
      </w:pPr>
    </w:p>
    <w:p w14:paraId="7E80FFB7" w14:textId="29CB9663" w:rsidR="00010640" w:rsidRPr="002318DC" w:rsidRDefault="00B2555F" w:rsidP="002318DC">
      <w:pPr>
        <w:autoSpaceDE w:val="0"/>
        <w:autoSpaceDN w:val="0"/>
        <w:adjustRightInd w:val="0"/>
        <w:spacing w:line="276" w:lineRule="auto"/>
        <w:ind w:left="720"/>
        <w:rPr>
          <w:rFonts w:asciiTheme="minorHAnsi" w:hAnsiTheme="minorHAnsi" w:cstheme="minorHAnsi"/>
          <w:color w:val="000000" w:themeColor="text1"/>
          <w:sz w:val="22"/>
          <w:szCs w:val="22"/>
        </w:rPr>
      </w:pPr>
      <w:r w:rsidRPr="002318DC">
        <w:rPr>
          <w:rFonts w:asciiTheme="minorHAnsi" w:hAnsiTheme="minorHAnsi" w:cstheme="minorHAnsi"/>
          <w:color w:val="000000" w:themeColor="text1"/>
          <w:sz w:val="22"/>
          <w:szCs w:val="22"/>
        </w:rPr>
        <w:t>“</w:t>
      </w:r>
      <w:r w:rsidRPr="002318DC">
        <w:rPr>
          <w:rFonts w:asciiTheme="minorHAnsi" w:eastAsiaTheme="minorHAnsi" w:hAnsiTheme="minorHAnsi" w:cstheme="minorHAnsi"/>
          <w:color w:val="000000" w:themeColor="text1"/>
          <w:sz w:val="22"/>
          <w:szCs w:val="22"/>
          <w:lang w:val="en-US"/>
        </w:rPr>
        <w:t>In relation to each Category A public sector sub-project to be funded under the Facility, the Accredited Entity shall disclose the Project Summary Document, Environmental and Social Impacts Assessment (ESIA) and Environmental and Social Action Plan (ESAP), and, as appropriate, inclusive of the Resettlement Policy Framework (RPF) and/or Land Acquisition and/or Resettlement Action Plan (LARAP or RAP), and any other associated information required to be disclosed in accordance with the Accredited Entity’s Public Information Policy (“Project Disclosure Package”). The Accredited Entity, 120 calendar days in advance of its Board meeting, shall disclose, in English and the local language (if not English), the Project Disclosure Package on its website and shall require that the Borrower does so in locations convenient to affected peoples, and provide the Projec</w:t>
      </w:r>
      <w:r w:rsidR="00135F8C">
        <w:rPr>
          <w:rFonts w:asciiTheme="minorHAnsi" w:eastAsiaTheme="minorHAnsi" w:hAnsiTheme="minorHAnsi" w:cstheme="minorHAnsi"/>
          <w:color w:val="000000" w:themeColor="text1"/>
          <w:sz w:val="22"/>
          <w:szCs w:val="22"/>
          <w:lang w:val="en-US"/>
        </w:rPr>
        <w:t>t</w:t>
      </w:r>
      <w:r w:rsidRPr="002318DC">
        <w:rPr>
          <w:rFonts w:asciiTheme="minorHAnsi" w:eastAsiaTheme="minorHAnsi" w:hAnsiTheme="minorHAnsi" w:cstheme="minorHAnsi"/>
          <w:color w:val="000000" w:themeColor="text1"/>
          <w:sz w:val="22"/>
          <w:szCs w:val="22"/>
          <w:lang w:val="en-US"/>
        </w:rPr>
        <w:t xml:space="preserve"> Disclosure Package to the GCF Secretariat for further distribution to the Board and Active Observers and for posting on the GCF website.”</w:t>
      </w:r>
      <w:r w:rsidR="009E4768" w:rsidRPr="002318DC">
        <w:rPr>
          <w:rStyle w:val="FootnoteReference"/>
          <w:rFonts w:asciiTheme="minorHAnsi" w:eastAsiaTheme="minorHAnsi" w:hAnsiTheme="minorHAnsi" w:cstheme="minorHAnsi"/>
          <w:color w:val="000000" w:themeColor="text1"/>
          <w:sz w:val="22"/>
          <w:szCs w:val="22"/>
          <w:lang w:val="en-US"/>
        </w:rPr>
        <w:footnoteReference w:id="1"/>
      </w:r>
      <w:r w:rsidRPr="002318DC">
        <w:rPr>
          <w:rFonts w:asciiTheme="minorHAnsi" w:hAnsiTheme="minorHAnsi" w:cstheme="minorHAnsi"/>
          <w:color w:val="000000" w:themeColor="text1"/>
          <w:sz w:val="22"/>
          <w:szCs w:val="22"/>
        </w:rPr>
        <w:t xml:space="preserve"> </w:t>
      </w:r>
    </w:p>
    <w:p w14:paraId="0C03393A" w14:textId="72B72D06" w:rsidR="00B343F9" w:rsidRPr="002318DC" w:rsidRDefault="00B343F9" w:rsidP="002318DC">
      <w:pPr>
        <w:autoSpaceDE w:val="0"/>
        <w:autoSpaceDN w:val="0"/>
        <w:adjustRightInd w:val="0"/>
        <w:spacing w:line="276" w:lineRule="auto"/>
        <w:ind w:left="720"/>
        <w:rPr>
          <w:rFonts w:asciiTheme="minorHAnsi" w:hAnsiTheme="minorHAnsi" w:cstheme="minorHAnsi"/>
          <w:color w:val="000000" w:themeColor="text1"/>
          <w:sz w:val="22"/>
          <w:szCs w:val="22"/>
        </w:rPr>
      </w:pPr>
    </w:p>
    <w:p w14:paraId="78473FE7" w14:textId="4DE78C67" w:rsidR="00B343F9" w:rsidRPr="002318DC" w:rsidRDefault="00B343F9" w:rsidP="002318DC">
      <w:pPr>
        <w:autoSpaceDE w:val="0"/>
        <w:autoSpaceDN w:val="0"/>
        <w:adjustRightInd w:val="0"/>
        <w:spacing w:line="276" w:lineRule="auto"/>
        <w:rPr>
          <w:rFonts w:asciiTheme="minorHAnsi" w:eastAsiaTheme="minorHAnsi" w:hAnsiTheme="minorHAnsi" w:cstheme="minorHAnsi"/>
          <w:sz w:val="22"/>
          <w:szCs w:val="22"/>
          <w:lang w:val="en-US"/>
        </w:rPr>
      </w:pPr>
      <w:r w:rsidRPr="002318DC">
        <w:rPr>
          <w:rFonts w:asciiTheme="minorHAnsi" w:hAnsiTheme="minorHAnsi" w:cstheme="minorHAnsi"/>
          <w:color w:val="000000" w:themeColor="text1"/>
          <w:sz w:val="22"/>
          <w:szCs w:val="22"/>
        </w:rPr>
        <w:t xml:space="preserve">Further, in response to a complaint filed by the GCF’s CSO Active Observer for Developed Countries, the Information Appeals Panel found the GCF in breach of its disclosure policy </w:t>
      </w:r>
      <w:r w:rsidR="007F2A34" w:rsidRPr="002318DC">
        <w:rPr>
          <w:rFonts w:asciiTheme="minorHAnsi" w:hAnsiTheme="minorHAnsi" w:cstheme="minorHAnsi"/>
          <w:color w:val="000000" w:themeColor="text1"/>
          <w:sz w:val="22"/>
          <w:szCs w:val="22"/>
        </w:rPr>
        <w:t>in regard to investments with the World Bank and Asian Development Bank in Indonesia</w:t>
      </w:r>
      <w:r w:rsidR="00A32A38" w:rsidRPr="002318DC">
        <w:rPr>
          <w:rFonts w:asciiTheme="minorHAnsi" w:hAnsiTheme="minorHAnsi" w:cstheme="minorHAnsi"/>
          <w:color w:val="000000" w:themeColor="text1"/>
          <w:sz w:val="22"/>
          <w:szCs w:val="22"/>
        </w:rPr>
        <w:t xml:space="preserve"> and Pakistan</w:t>
      </w:r>
      <w:r w:rsidR="007F2A34" w:rsidRPr="002318DC">
        <w:rPr>
          <w:rFonts w:asciiTheme="minorHAnsi" w:hAnsiTheme="minorHAnsi" w:cstheme="minorHAnsi"/>
          <w:color w:val="000000" w:themeColor="text1"/>
          <w:sz w:val="22"/>
          <w:szCs w:val="22"/>
        </w:rPr>
        <w:t xml:space="preserve">, </w:t>
      </w:r>
      <w:r w:rsidRPr="002318DC">
        <w:rPr>
          <w:rFonts w:asciiTheme="minorHAnsi" w:hAnsiTheme="minorHAnsi" w:cstheme="minorHAnsi"/>
          <w:color w:val="000000" w:themeColor="text1"/>
          <w:sz w:val="22"/>
          <w:szCs w:val="22"/>
        </w:rPr>
        <w:t>and noted “</w:t>
      </w:r>
      <w:r w:rsidRPr="002318DC">
        <w:rPr>
          <w:rFonts w:asciiTheme="minorHAnsi" w:eastAsiaTheme="minorHAnsi" w:hAnsiTheme="minorHAnsi" w:cstheme="minorHAnsi"/>
          <w:sz w:val="22"/>
          <w:szCs w:val="22"/>
          <w:lang w:val="en-US"/>
        </w:rPr>
        <w:t>that overall any delay in providing such documents is a risk to the reputation of the GCF and should be avoided in the future.”</w:t>
      </w:r>
      <w:r w:rsidR="007F2A34" w:rsidRPr="002318DC">
        <w:rPr>
          <w:rStyle w:val="FootnoteReference"/>
          <w:rFonts w:asciiTheme="minorHAnsi" w:eastAsiaTheme="minorHAnsi" w:hAnsiTheme="minorHAnsi" w:cstheme="minorHAnsi"/>
          <w:sz w:val="22"/>
          <w:szCs w:val="22"/>
          <w:lang w:val="en-US"/>
        </w:rPr>
        <w:footnoteReference w:id="2"/>
      </w:r>
    </w:p>
    <w:p w14:paraId="646DF5AE" w14:textId="77777777" w:rsidR="00B2555F" w:rsidRPr="002318DC" w:rsidRDefault="00B2555F" w:rsidP="002318DC">
      <w:pPr>
        <w:spacing w:line="276" w:lineRule="auto"/>
        <w:rPr>
          <w:rFonts w:asciiTheme="minorHAnsi" w:hAnsiTheme="minorHAnsi" w:cstheme="minorHAnsi"/>
          <w:color w:val="000000" w:themeColor="text1"/>
          <w:sz w:val="22"/>
          <w:szCs w:val="22"/>
        </w:rPr>
      </w:pPr>
    </w:p>
    <w:p w14:paraId="042748CB" w14:textId="67F204D5" w:rsidR="006506E1" w:rsidRDefault="00660FA3" w:rsidP="002318DC">
      <w:pPr>
        <w:spacing w:line="276"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The </w:t>
      </w:r>
      <w:r w:rsidR="006506E1" w:rsidRPr="002318DC">
        <w:rPr>
          <w:rFonts w:asciiTheme="minorHAnsi" w:hAnsiTheme="minorHAnsi" w:cstheme="minorHAnsi"/>
          <w:b/>
          <w:color w:val="000000" w:themeColor="text1"/>
          <w:sz w:val="22"/>
          <w:szCs w:val="22"/>
        </w:rPr>
        <w:t>World Bank</w:t>
      </w:r>
    </w:p>
    <w:p w14:paraId="7FEFFD8B" w14:textId="77777777" w:rsidR="00660FA3" w:rsidRPr="002318DC" w:rsidRDefault="00660FA3" w:rsidP="002318DC">
      <w:pPr>
        <w:spacing w:line="276" w:lineRule="auto"/>
        <w:rPr>
          <w:rFonts w:asciiTheme="minorHAnsi" w:hAnsiTheme="minorHAnsi" w:cstheme="minorHAnsi"/>
          <w:b/>
          <w:color w:val="000000" w:themeColor="text1"/>
          <w:sz w:val="22"/>
          <w:szCs w:val="22"/>
        </w:rPr>
      </w:pPr>
    </w:p>
    <w:p w14:paraId="7220560E" w14:textId="77777777" w:rsidR="006506E1" w:rsidRPr="002318DC" w:rsidRDefault="006506E1" w:rsidP="002318DC">
      <w:pPr>
        <w:spacing w:line="276" w:lineRule="auto"/>
        <w:rPr>
          <w:rFonts w:asciiTheme="minorHAnsi" w:hAnsiTheme="minorHAnsi" w:cstheme="minorHAnsi"/>
          <w:color w:val="000000" w:themeColor="text1"/>
          <w:sz w:val="22"/>
          <w:szCs w:val="22"/>
        </w:rPr>
      </w:pPr>
      <w:r w:rsidRPr="002318DC">
        <w:rPr>
          <w:rFonts w:asciiTheme="minorHAnsi" w:hAnsiTheme="minorHAnsi" w:cstheme="minorHAnsi"/>
          <w:bCs/>
          <w:color w:val="000000" w:themeColor="text1"/>
          <w:sz w:val="22"/>
          <w:szCs w:val="22"/>
        </w:rPr>
        <w:t xml:space="preserve">The World Bank invests in financial intermediaries and requires and practices a great degree of disclosure – including of sub-projects supported through commercial banks. </w:t>
      </w:r>
      <w:r w:rsidRPr="002318DC">
        <w:rPr>
          <w:rFonts w:asciiTheme="minorHAnsi" w:hAnsiTheme="minorHAnsi" w:cstheme="minorHAnsi"/>
          <w:color w:val="000000" w:themeColor="text1"/>
          <w:sz w:val="22"/>
          <w:szCs w:val="22"/>
        </w:rPr>
        <w:t xml:space="preserve">Under the disclosure clause of the World Bank’s 2013 Operational Procedure BP 4.03, </w:t>
      </w:r>
      <w:r w:rsidRPr="002318DC">
        <w:rPr>
          <w:rFonts w:asciiTheme="minorHAnsi" w:hAnsiTheme="minorHAnsi" w:cstheme="minorHAnsi"/>
          <w:color w:val="000000" w:themeColor="text1"/>
          <w:sz w:val="22"/>
          <w:szCs w:val="22"/>
          <w:vertAlign w:val="superscript"/>
        </w:rPr>
        <w:t> </w:t>
      </w:r>
      <w:r w:rsidRPr="002318DC">
        <w:rPr>
          <w:rFonts w:asciiTheme="minorHAnsi" w:hAnsiTheme="minorHAnsi" w:cstheme="minorHAnsi"/>
          <w:color w:val="000000" w:themeColor="text1"/>
          <w:sz w:val="22"/>
          <w:szCs w:val="22"/>
        </w:rPr>
        <w:t>the World Bank requires its financial intermediary clients to disclose and permit, in writing, the World Bank to disclose the summary of the Environmental and Social Impact Assessment (ESIA) of any sub-project considered high risk (Category FI-1 and FI-2). In practice, however, the World Bank seems to go beyond summaries by disclosing full reports of impact assessments, mitigation, and resettlement plans.”</w:t>
      </w:r>
      <w:r w:rsidR="00751DF3" w:rsidRPr="002318DC">
        <w:rPr>
          <w:rStyle w:val="FootnoteReference"/>
          <w:rFonts w:asciiTheme="minorHAnsi" w:hAnsiTheme="minorHAnsi" w:cstheme="minorHAnsi"/>
          <w:color w:val="000000" w:themeColor="text1"/>
          <w:sz w:val="22"/>
          <w:szCs w:val="22"/>
        </w:rPr>
        <w:footnoteReference w:id="3"/>
      </w:r>
      <w:r w:rsidRPr="002318DC">
        <w:rPr>
          <w:rFonts w:asciiTheme="minorHAnsi" w:hAnsiTheme="minorHAnsi" w:cstheme="minorHAnsi"/>
          <w:color w:val="000000" w:themeColor="text1"/>
          <w:sz w:val="22"/>
          <w:szCs w:val="22"/>
        </w:rPr>
        <w:t xml:space="preserve"> </w:t>
      </w:r>
    </w:p>
    <w:p w14:paraId="5D924DC5" w14:textId="77777777" w:rsidR="006506E1" w:rsidRPr="002318DC" w:rsidRDefault="006506E1" w:rsidP="002318DC">
      <w:pPr>
        <w:spacing w:line="276" w:lineRule="auto"/>
        <w:rPr>
          <w:rFonts w:asciiTheme="minorHAnsi" w:hAnsiTheme="minorHAnsi" w:cstheme="minorHAnsi"/>
          <w:color w:val="000000" w:themeColor="text1"/>
          <w:sz w:val="22"/>
          <w:szCs w:val="22"/>
        </w:rPr>
      </w:pPr>
    </w:p>
    <w:p w14:paraId="50BE73FA" w14:textId="77777777" w:rsidR="006506E1" w:rsidRPr="002318DC" w:rsidRDefault="006506E1" w:rsidP="002318DC">
      <w:pPr>
        <w:spacing w:line="276" w:lineRule="auto"/>
        <w:rPr>
          <w:rFonts w:asciiTheme="minorHAnsi" w:hAnsiTheme="minorHAnsi" w:cstheme="minorHAnsi"/>
          <w:color w:val="000000" w:themeColor="text1"/>
          <w:sz w:val="22"/>
          <w:szCs w:val="22"/>
        </w:rPr>
      </w:pPr>
      <w:r w:rsidRPr="002318DC">
        <w:rPr>
          <w:rFonts w:asciiTheme="minorHAnsi" w:hAnsiTheme="minorHAnsi" w:cstheme="minorHAnsi"/>
          <w:color w:val="000000" w:themeColor="text1"/>
          <w:sz w:val="22"/>
          <w:szCs w:val="22"/>
        </w:rPr>
        <w:t>Examples include the World Bank’s investments in Turkish banks, TKB and TSKB, for which the World Bank disclosed 208 documents relating to the investments and their sub projects.</w:t>
      </w:r>
    </w:p>
    <w:p w14:paraId="35742FDD" w14:textId="77777777" w:rsidR="006506E1" w:rsidRPr="002318DC" w:rsidRDefault="006506E1" w:rsidP="002318DC">
      <w:pPr>
        <w:spacing w:line="276" w:lineRule="auto"/>
        <w:rPr>
          <w:rFonts w:asciiTheme="minorHAnsi" w:hAnsiTheme="minorHAnsi" w:cstheme="minorHAnsi"/>
          <w:b/>
          <w:color w:val="000000" w:themeColor="text1"/>
          <w:sz w:val="22"/>
          <w:szCs w:val="22"/>
        </w:rPr>
      </w:pPr>
    </w:p>
    <w:p w14:paraId="455CF64B" w14:textId="38ED3C97" w:rsidR="00457475" w:rsidRPr="002318DC" w:rsidRDefault="00D950D0" w:rsidP="002318DC">
      <w:pPr>
        <w:spacing w:line="276"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The </w:t>
      </w:r>
      <w:r w:rsidR="00457475" w:rsidRPr="002318DC">
        <w:rPr>
          <w:rFonts w:asciiTheme="minorHAnsi" w:hAnsiTheme="minorHAnsi" w:cstheme="minorHAnsi"/>
          <w:b/>
          <w:color w:val="000000" w:themeColor="text1"/>
          <w:sz w:val="22"/>
          <w:szCs w:val="22"/>
        </w:rPr>
        <w:t>International Finance Corporation</w:t>
      </w:r>
    </w:p>
    <w:p w14:paraId="258B5A6F" w14:textId="77777777" w:rsidR="00D950D0" w:rsidRDefault="00D950D0" w:rsidP="002318DC">
      <w:pPr>
        <w:spacing w:line="276" w:lineRule="auto"/>
        <w:rPr>
          <w:rFonts w:asciiTheme="minorHAnsi" w:hAnsiTheme="minorHAnsi" w:cstheme="minorHAnsi"/>
          <w:color w:val="000000" w:themeColor="text1"/>
          <w:sz w:val="22"/>
          <w:szCs w:val="22"/>
        </w:rPr>
      </w:pPr>
    </w:p>
    <w:p w14:paraId="1A618041" w14:textId="49B665A0" w:rsidR="00C0441E" w:rsidRPr="002318DC" w:rsidRDefault="00C0441E" w:rsidP="002318DC">
      <w:pPr>
        <w:spacing w:line="276" w:lineRule="auto"/>
        <w:rPr>
          <w:rFonts w:asciiTheme="minorHAnsi" w:hAnsiTheme="minorHAnsi" w:cstheme="minorHAnsi"/>
          <w:color w:val="000000" w:themeColor="text1"/>
          <w:sz w:val="22"/>
          <w:szCs w:val="22"/>
        </w:rPr>
      </w:pPr>
      <w:r w:rsidRPr="002318DC">
        <w:rPr>
          <w:rFonts w:asciiTheme="minorHAnsi" w:hAnsiTheme="minorHAnsi" w:cstheme="minorHAnsi"/>
          <w:color w:val="000000" w:themeColor="text1"/>
          <w:sz w:val="22"/>
          <w:szCs w:val="22"/>
        </w:rPr>
        <w:t xml:space="preserve">The </w:t>
      </w:r>
      <w:r w:rsidR="00D950D0">
        <w:rPr>
          <w:rFonts w:asciiTheme="minorHAnsi" w:hAnsiTheme="minorHAnsi" w:cstheme="minorHAnsi"/>
          <w:color w:val="000000" w:themeColor="text1"/>
          <w:sz w:val="22"/>
          <w:szCs w:val="22"/>
        </w:rPr>
        <w:t>International Finance Corporation (</w:t>
      </w:r>
      <w:r w:rsidRPr="002318DC">
        <w:rPr>
          <w:rFonts w:asciiTheme="minorHAnsi" w:hAnsiTheme="minorHAnsi" w:cstheme="minorHAnsi"/>
          <w:color w:val="000000" w:themeColor="text1"/>
          <w:sz w:val="22"/>
          <w:szCs w:val="22"/>
        </w:rPr>
        <w:t>IFC</w:t>
      </w:r>
      <w:r w:rsidR="00D950D0">
        <w:rPr>
          <w:rFonts w:asciiTheme="minorHAnsi" w:hAnsiTheme="minorHAnsi" w:cstheme="minorHAnsi"/>
          <w:color w:val="000000" w:themeColor="text1"/>
          <w:sz w:val="22"/>
          <w:szCs w:val="22"/>
        </w:rPr>
        <w:t>)</w:t>
      </w:r>
      <w:r w:rsidRPr="002318DC">
        <w:rPr>
          <w:rFonts w:asciiTheme="minorHAnsi" w:hAnsiTheme="minorHAnsi" w:cstheme="minorHAnsi"/>
          <w:color w:val="000000" w:themeColor="text1"/>
          <w:sz w:val="22"/>
          <w:szCs w:val="22"/>
        </w:rPr>
        <w:t xml:space="preserve"> discloses different information dependent on the type of FI client.</w:t>
      </w:r>
      <w:r w:rsidR="006506E1" w:rsidRPr="002318DC">
        <w:rPr>
          <w:rFonts w:asciiTheme="minorHAnsi" w:hAnsiTheme="minorHAnsi" w:cstheme="minorHAnsi"/>
          <w:color w:val="000000" w:themeColor="text1"/>
          <w:sz w:val="22"/>
          <w:szCs w:val="22"/>
        </w:rPr>
        <w:t xml:space="preserve"> It has made several significant reforms over the past five years, largely in response to civil society pressure and a number of </w:t>
      </w:r>
      <w:r w:rsidR="00F239D6" w:rsidRPr="002318DC">
        <w:rPr>
          <w:rFonts w:asciiTheme="minorHAnsi" w:hAnsiTheme="minorHAnsi" w:cstheme="minorHAnsi"/>
          <w:color w:val="000000" w:themeColor="text1"/>
          <w:sz w:val="22"/>
          <w:szCs w:val="22"/>
        </w:rPr>
        <w:t>highly-damaging cases.</w:t>
      </w:r>
      <w:r w:rsidR="001C25C3" w:rsidRPr="002318DC">
        <w:rPr>
          <w:rStyle w:val="FootnoteReference"/>
          <w:rFonts w:asciiTheme="minorHAnsi" w:hAnsiTheme="minorHAnsi" w:cstheme="minorHAnsi"/>
          <w:color w:val="000000" w:themeColor="text1"/>
          <w:sz w:val="22"/>
          <w:szCs w:val="22"/>
        </w:rPr>
        <w:footnoteReference w:id="4"/>
      </w:r>
    </w:p>
    <w:p w14:paraId="2981EB65" w14:textId="77777777" w:rsidR="006506E1" w:rsidRPr="002318DC" w:rsidRDefault="006506E1" w:rsidP="002318DC">
      <w:pPr>
        <w:spacing w:line="276" w:lineRule="auto"/>
        <w:rPr>
          <w:rFonts w:asciiTheme="minorHAnsi" w:hAnsiTheme="minorHAnsi" w:cstheme="minorHAnsi"/>
          <w:color w:val="000000" w:themeColor="text1"/>
          <w:sz w:val="22"/>
          <w:szCs w:val="22"/>
        </w:rPr>
      </w:pPr>
    </w:p>
    <w:p w14:paraId="78305ADA" w14:textId="003A30D2" w:rsidR="00C0441E" w:rsidRPr="002318DC" w:rsidRDefault="00C0441E" w:rsidP="002318DC">
      <w:pPr>
        <w:spacing w:line="276" w:lineRule="auto"/>
        <w:rPr>
          <w:rFonts w:asciiTheme="minorHAnsi" w:hAnsiTheme="minorHAnsi" w:cstheme="minorHAnsi"/>
          <w:color w:val="000000" w:themeColor="text1"/>
          <w:sz w:val="22"/>
          <w:szCs w:val="22"/>
        </w:rPr>
      </w:pPr>
      <w:r w:rsidRPr="002318DC">
        <w:rPr>
          <w:rFonts w:asciiTheme="minorHAnsi" w:hAnsiTheme="minorHAnsi" w:cstheme="minorHAnsi"/>
          <w:color w:val="000000" w:themeColor="text1"/>
          <w:sz w:val="22"/>
          <w:szCs w:val="22"/>
        </w:rPr>
        <w:lastRenderedPageBreak/>
        <w:t xml:space="preserve">For </w:t>
      </w:r>
      <w:r w:rsidRPr="002318DC">
        <w:rPr>
          <w:rFonts w:asciiTheme="minorHAnsi" w:hAnsiTheme="minorHAnsi" w:cstheme="minorHAnsi"/>
          <w:b/>
          <w:bCs/>
          <w:color w:val="000000" w:themeColor="text1"/>
          <w:sz w:val="22"/>
          <w:szCs w:val="22"/>
        </w:rPr>
        <w:t xml:space="preserve">private equity fund clients: </w:t>
      </w:r>
      <w:r w:rsidRPr="002318DC">
        <w:rPr>
          <w:rFonts w:asciiTheme="minorHAnsi" w:hAnsiTheme="minorHAnsi" w:cstheme="minorHAnsi"/>
          <w:color w:val="000000" w:themeColor="text1"/>
          <w:sz w:val="22"/>
          <w:szCs w:val="22"/>
        </w:rPr>
        <w:t>in its 2012 Performance Standards, IFC committed to “periodically disclose a listing of the names, locations and sectors of high-risk sub-projects that have been supported by IFC investments through private equity funds, subject to regulatory constraints and market sensitivities.”</w:t>
      </w:r>
      <w:r w:rsidR="006506E1" w:rsidRPr="002318DC">
        <w:rPr>
          <w:rFonts w:asciiTheme="minorHAnsi" w:hAnsiTheme="minorHAnsi" w:cstheme="minorHAnsi"/>
          <w:color w:val="000000" w:themeColor="text1"/>
          <w:sz w:val="22"/>
          <w:szCs w:val="22"/>
        </w:rPr>
        <w:t xml:space="preserve"> </w:t>
      </w:r>
      <w:r w:rsidRPr="002318DC">
        <w:rPr>
          <w:rFonts w:asciiTheme="minorHAnsi" w:hAnsiTheme="minorHAnsi" w:cstheme="minorHAnsi"/>
          <w:color w:val="000000" w:themeColor="text1"/>
          <w:sz w:val="22"/>
          <w:szCs w:val="22"/>
        </w:rPr>
        <w:t>This was updated in 2015 when in response to pressure from civil society, IFC started to disclose all sub projects supported via its private equity fund clients</w:t>
      </w:r>
      <w:r w:rsidR="00D94E2E">
        <w:rPr>
          <w:rFonts w:asciiTheme="minorHAnsi" w:hAnsiTheme="minorHAnsi" w:cstheme="minorHAnsi"/>
          <w:color w:val="000000" w:themeColor="text1"/>
          <w:sz w:val="22"/>
          <w:szCs w:val="22"/>
        </w:rPr>
        <w:t>, stating:</w:t>
      </w:r>
      <w:r w:rsidRPr="002318DC">
        <w:rPr>
          <w:rFonts w:asciiTheme="minorHAnsi" w:hAnsiTheme="minorHAnsi" w:cstheme="minorHAnsi"/>
          <w:color w:val="000000" w:themeColor="text1"/>
          <w:sz w:val="22"/>
          <w:szCs w:val="22"/>
        </w:rPr>
        <w:t xml:space="preserve"> “with input from CSOs and other stakeholders, we have improved transparency by now disclosing all private equity fund sub-projects.”</w:t>
      </w:r>
      <w:r w:rsidR="00F709F4" w:rsidRPr="002318DC">
        <w:rPr>
          <w:rStyle w:val="FootnoteReference"/>
          <w:rFonts w:asciiTheme="minorHAnsi" w:hAnsiTheme="minorHAnsi" w:cstheme="minorHAnsi"/>
          <w:color w:val="000000" w:themeColor="text1"/>
          <w:sz w:val="22"/>
          <w:szCs w:val="22"/>
        </w:rPr>
        <w:footnoteReference w:id="5"/>
      </w:r>
      <w:r w:rsidRPr="002318DC">
        <w:rPr>
          <w:rFonts w:asciiTheme="minorHAnsi" w:hAnsiTheme="minorHAnsi" w:cstheme="minorHAnsi"/>
          <w:color w:val="000000" w:themeColor="text1"/>
          <w:sz w:val="22"/>
          <w:szCs w:val="22"/>
        </w:rPr>
        <w:t xml:space="preserve"> </w:t>
      </w:r>
    </w:p>
    <w:p w14:paraId="721A633D" w14:textId="77777777" w:rsidR="006506E1" w:rsidRPr="002318DC" w:rsidRDefault="006506E1" w:rsidP="002318DC">
      <w:pPr>
        <w:pStyle w:val="NormalWeb"/>
        <w:spacing w:before="0" w:beforeAutospacing="0" w:after="0" w:afterAutospacing="0" w:line="276" w:lineRule="auto"/>
        <w:rPr>
          <w:rFonts w:asciiTheme="minorHAnsi" w:hAnsiTheme="minorHAnsi" w:cstheme="minorHAnsi"/>
          <w:color w:val="000000" w:themeColor="text1"/>
          <w:sz w:val="22"/>
          <w:szCs w:val="22"/>
        </w:rPr>
      </w:pPr>
    </w:p>
    <w:p w14:paraId="795E19B6" w14:textId="536F9219" w:rsidR="00C0441E" w:rsidRPr="002318DC" w:rsidRDefault="00C0441E" w:rsidP="002318DC">
      <w:pPr>
        <w:pStyle w:val="NormalWeb"/>
        <w:spacing w:before="0" w:beforeAutospacing="0" w:after="0" w:afterAutospacing="0" w:line="276" w:lineRule="auto"/>
        <w:rPr>
          <w:rFonts w:asciiTheme="minorHAnsi" w:hAnsiTheme="minorHAnsi" w:cstheme="minorHAnsi"/>
          <w:color w:val="000000" w:themeColor="text1"/>
          <w:sz w:val="22"/>
          <w:szCs w:val="22"/>
        </w:rPr>
      </w:pPr>
      <w:r w:rsidRPr="002318DC">
        <w:rPr>
          <w:rFonts w:asciiTheme="minorHAnsi" w:hAnsiTheme="minorHAnsi" w:cstheme="minorHAnsi"/>
          <w:color w:val="000000" w:themeColor="text1"/>
          <w:sz w:val="22"/>
          <w:szCs w:val="22"/>
        </w:rPr>
        <w:t>In 2017, the IFC applied this new rule retrospectively to all PE fund clients since 2012</w:t>
      </w:r>
      <w:r w:rsidR="00D94E2E">
        <w:rPr>
          <w:rFonts w:asciiTheme="minorHAnsi" w:hAnsiTheme="minorHAnsi" w:cstheme="minorHAnsi"/>
          <w:color w:val="000000" w:themeColor="text1"/>
          <w:sz w:val="22"/>
          <w:szCs w:val="22"/>
        </w:rPr>
        <w:t>:</w:t>
      </w:r>
      <w:r w:rsidRPr="002318DC">
        <w:rPr>
          <w:rFonts w:asciiTheme="minorHAnsi" w:hAnsiTheme="minorHAnsi" w:cstheme="minorHAnsi"/>
          <w:color w:val="000000" w:themeColor="text1"/>
          <w:sz w:val="22"/>
          <w:szCs w:val="22"/>
        </w:rPr>
        <w:t xml:space="preserve"> “</w:t>
      </w:r>
      <w:r w:rsidRPr="002318DC">
        <w:rPr>
          <w:rFonts w:asciiTheme="minorHAnsi" w:hAnsiTheme="minorHAnsi" w:cstheme="minorHAnsi"/>
          <w:color w:val="000000" w:themeColor="text1"/>
          <w:sz w:val="22"/>
          <w:szCs w:val="22"/>
          <w:shd w:val="clear" w:color="auto" w:fill="FFFFFF"/>
        </w:rPr>
        <w:t>We publish the name, sector and location of every investment of our funds’ portfolio companies. In 2017, IFC fulfilled 100 percent of this requirement for the 63 fund investments initiated since 2012, and published information on more than 387 funds’ portfolio companies.”</w:t>
      </w:r>
      <w:r w:rsidR="00D31F9C" w:rsidRPr="002318DC">
        <w:rPr>
          <w:rStyle w:val="FootnoteReference"/>
          <w:rFonts w:asciiTheme="minorHAnsi" w:hAnsiTheme="minorHAnsi" w:cstheme="minorHAnsi"/>
          <w:color w:val="000000" w:themeColor="text1"/>
          <w:sz w:val="22"/>
          <w:szCs w:val="22"/>
          <w:shd w:val="clear" w:color="auto" w:fill="FFFFFF"/>
        </w:rPr>
        <w:footnoteReference w:id="6"/>
      </w:r>
    </w:p>
    <w:p w14:paraId="2A0D5361" w14:textId="77777777" w:rsidR="00D31F9C" w:rsidRPr="002318DC" w:rsidRDefault="00D31F9C" w:rsidP="002318DC">
      <w:pPr>
        <w:spacing w:line="276" w:lineRule="auto"/>
        <w:rPr>
          <w:rFonts w:asciiTheme="minorHAnsi" w:hAnsiTheme="minorHAnsi" w:cstheme="minorHAnsi"/>
          <w:color w:val="000000" w:themeColor="text1"/>
          <w:sz w:val="22"/>
          <w:szCs w:val="22"/>
        </w:rPr>
      </w:pPr>
    </w:p>
    <w:p w14:paraId="5C44783E" w14:textId="6CFC7698" w:rsidR="00457475" w:rsidRPr="002318DC" w:rsidRDefault="00457475" w:rsidP="002318DC">
      <w:pPr>
        <w:spacing w:line="276" w:lineRule="auto"/>
        <w:rPr>
          <w:rFonts w:asciiTheme="minorHAnsi" w:hAnsiTheme="minorHAnsi" w:cstheme="minorHAnsi"/>
          <w:color w:val="000000" w:themeColor="text1"/>
          <w:sz w:val="22"/>
          <w:szCs w:val="22"/>
          <w:shd w:val="clear" w:color="auto" w:fill="FFFFFF"/>
        </w:rPr>
      </w:pPr>
      <w:r w:rsidRPr="002318DC">
        <w:rPr>
          <w:rFonts w:asciiTheme="minorHAnsi" w:hAnsiTheme="minorHAnsi" w:cstheme="minorHAnsi"/>
          <w:color w:val="000000" w:themeColor="text1"/>
          <w:sz w:val="22"/>
          <w:szCs w:val="22"/>
        </w:rPr>
        <w:t>IFC is in the process of developing a new strategy on disclosure, which will include: “</w:t>
      </w:r>
      <w:r w:rsidRPr="002318DC">
        <w:rPr>
          <w:rFonts w:asciiTheme="minorHAnsi" w:hAnsiTheme="minorHAnsi" w:cstheme="minorHAnsi"/>
          <w:color w:val="000000" w:themeColor="text1"/>
          <w:sz w:val="22"/>
          <w:szCs w:val="22"/>
          <w:shd w:val="clear" w:color="auto" w:fill="FFFFFF"/>
        </w:rPr>
        <w:t>a voluntary initiative with our financial intermediary clients exposed to high-risk projects for the next two years to promote disclosure of such high-risk sub-projects initiated from IFC lending, including the name, sector, and host country of the project.”</w:t>
      </w:r>
      <w:r w:rsidR="00980381" w:rsidRPr="002318DC">
        <w:rPr>
          <w:rStyle w:val="FootnoteReference"/>
          <w:rFonts w:asciiTheme="minorHAnsi" w:hAnsiTheme="minorHAnsi" w:cstheme="minorHAnsi"/>
          <w:color w:val="000000" w:themeColor="text1"/>
          <w:sz w:val="22"/>
          <w:szCs w:val="22"/>
          <w:shd w:val="clear" w:color="auto" w:fill="FFFFFF"/>
        </w:rPr>
        <w:footnoteReference w:id="7"/>
      </w:r>
      <w:r w:rsidRPr="002318DC">
        <w:rPr>
          <w:rFonts w:asciiTheme="minorHAnsi" w:hAnsiTheme="minorHAnsi" w:cstheme="minorHAnsi"/>
          <w:color w:val="000000" w:themeColor="text1"/>
          <w:sz w:val="22"/>
          <w:szCs w:val="22"/>
          <w:shd w:val="clear" w:color="auto" w:fill="FFFFFF"/>
        </w:rPr>
        <w:t xml:space="preserve"> </w:t>
      </w:r>
    </w:p>
    <w:p w14:paraId="2C5E9BD5" w14:textId="3B82BD9D" w:rsidR="009D5508" w:rsidRPr="002318DC" w:rsidRDefault="009D5508" w:rsidP="002318DC">
      <w:pPr>
        <w:spacing w:line="276" w:lineRule="auto"/>
        <w:rPr>
          <w:rFonts w:asciiTheme="minorHAnsi" w:hAnsiTheme="minorHAnsi" w:cstheme="minorHAnsi"/>
          <w:color w:val="000000" w:themeColor="text1"/>
          <w:sz w:val="22"/>
          <w:szCs w:val="22"/>
          <w:shd w:val="clear" w:color="auto" w:fill="FFFFFF"/>
        </w:rPr>
      </w:pPr>
    </w:p>
    <w:p w14:paraId="462491EB" w14:textId="7A44B08E" w:rsidR="00D94E2E" w:rsidRDefault="00D94E2E" w:rsidP="00FE58FE">
      <w:pPr>
        <w:spacing w:line="276"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RECOMMENDATION</w:t>
      </w:r>
      <w:r w:rsidR="009D5508" w:rsidRPr="00FE58FE">
        <w:rPr>
          <w:rFonts w:asciiTheme="minorHAnsi" w:hAnsiTheme="minorHAnsi" w:cstheme="minorHAnsi"/>
          <w:b/>
          <w:color w:val="000000" w:themeColor="text1"/>
          <w:sz w:val="22"/>
          <w:szCs w:val="22"/>
        </w:rPr>
        <w:t>:</w:t>
      </w:r>
    </w:p>
    <w:p w14:paraId="79EEFB08" w14:textId="38364042" w:rsidR="00FE58FE" w:rsidRDefault="009D5508" w:rsidP="00FE58FE">
      <w:pPr>
        <w:spacing w:line="276" w:lineRule="auto"/>
        <w:rPr>
          <w:rFonts w:asciiTheme="minorHAnsi" w:hAnsiTheme="minorHAnsi" w:cstheme="minorHAnsi"/>
          <w:color w:val="000000" w:themeColor="text1"/>
          <w:sz w:val="22"/>
          <w:szCs w:val="22"/>
        </w:rPr>
      </w:pPr>
      <w:r w:rsidRPr="00FE58FE">
        <w:rPr>
          <w:rFonts w:asciiTheme="minorHAnsi" w:hAnsiTheme="minorHAnsi" w:cstheme="minorHAnsi"/>
          <w:color w:val="000000" w:themeColor="text1"/>
          <w:sz w:val="22"/>
          <w:szCs w:val="22"/>
        </w:rPr>
        <w:t xml:space="preserve">The </w:t>
      </w:r>
      <w:r w:rsidR="00C74765" w:rsidRPr="00FE58FE">
        <w:rPr>
          <w:rFonts w:asciiTheme="minorHAnsi" w:hAnsiTheme="minorHAnsi" w:cstheme="minorHAnsi"/>
          <w:color w:val="000000" w:themeColor="text1"/>
          <w:sz w:val="22"/>
          <w:szCs w:val="22"/>
        </w:rPr>
        <w:t xml:space="preserve">AIIB should adopt an </w:t>
      </w:r>
      <w:r w:rsidRPr="00FE58FE">
        <w:rPr>
          <w:rFonts w:asciiTheme="minorHAnsi" w:hAnsiTheme="minorHAnsi" w:cstheme="minorHAnsi"/>
          <w:color w:val="000000" w:themeColor="text1"/>
          <w:sz w:val="22"/>
          <w:szCs w:val="22"/>
        </w:rPr>
        <w:t xml:space="preserve">equity strategy </w:t>
      </w:r>
      <w:r w:rsidR="00C74765" w:rsidRPr="00FE58FE">
        <w:rPr>
          <w:rFonts w:asciiTheme="minorHAnsi" w:hAnsiTheme="minorHAnsi" w:cstheme="minorHAnsi"/>
          <w:color w:val="000000" w:themeColor="text1"/>
          <w:sz w:val="22"/>
          <w:szCs w:val="22"/>
        </w:rPr>
        <w:t>that commits</w:t>
      </w:r>
      <w:r w:rsidRPr="00FE58FE">
        <w:rPr>
          <w:rFonts w:asciiTheme="minorHAnsi" w:hAnsiTheme="minorHAnsi" w:cstheme="minorHAnsi"/>
          <w:color w:val="000000" w:themeColor="text1"/>
          <w:sz w:val="22"/>
          <w:szCs w:val="22"/>
        </w:rPr>
        <w:t xml:space="preserve"> to principles of disclosure and transparency and enshrine</w:t>
      </w:r>
      <w:r w:rsidR="00C74765" w:rsidRPr="00FE58FE">
        <w:rPr>
          <w:rFonts w:asciiTheme="minorHAnsi" w:hAnsiTheme="minorHAnsi" w:cstheme="minorHAnsi"/>
          <w:color w:val="000000" w:themeColor="text1"/>
          <w:sz w:val="22"/>
          <w:szCs w:val="22"/>
        </w:rPr>
        <w:t>s</w:t>
      </w:r>
      <w:r w:rsidRPr="00FE58FE">
        <w:rPr>
          <w:rFonts w:asciiTheme="minorHAnsi" w:hAnsiTheme="minorHAnsi" w:cstheme="minorHAnsi"/>
          <w:color w:val="000000" w:themeColor="text1"/>
          <w:sz w:val="22"/>
          <w:szCs w:val="22"/>
        </w:rPr>
        <w:t xml:space="preserve"> best practice</w:t>
      </w:r>
      <w:r w:rsidR="00D94E2E">
        <w:rPr>
          <w:rFonts w:asciiTheme="minorHAnsi" w:hAnsiTheme="minorHAnsi" w:cstheme="minorHAnsi"/>
          <w:color w:val="000000" w:themeColor="text1"/>
          <w:sz w:val="22"/>
          <w:szCs w:val="22"/>
        </w:rPr>
        <w:t>,</w:t>
      </w:r>
      <w:r w:rsidR="00FE58FE">
        <w:rPr>
          <w:rFonts w:asciiTheme="minorHAnsi" w:hAnsiTheme="minorHAnsi" w:cstheme="minorHAnsi"/>
          <w:color w:val="000000" w:themeColor="text1"/>
          <w:sz w:val="22"/>
          <w:szCs w:val="22"/>
        </w:rPr>
        <w:t xml:space="preserve"> including:</w:t>
      </w:r>
    </w:p>
    <w:p w14:paraId="49C5D1B7" w14:textId="144BE372" w:rsidR="00C0441E" w:rsidRPr="00FE58FE" w:rsidRDefault="00FE58FE" w:rsidP="00FE58FE">
      <w:pPr>
        <w:pStyle w:val="ListParagraph"/>
        <w:numPr>
          <w:ilvl w:val="0"/>
          <w:numId w:val="12"/>
        </w:numPr>
        <w:spacing w:line="276" w:lineRule="auto"/>
        <w:rPr>
          <w:rFonts w:asciiTheme="minorHAnsi" w:hAnsiTheme="minorHAnsi" w:cstheme="minorHAnsi"/>
          <w:color w:val="000000" w:themeColor="text1"/>
          <w:sz w:val="22"/>
          <w:szCs w:val="22"/>
        </w:rPr>
      </w:pPr>
      <w:r w:rsidRPr="00FE58FE">
        <w:rPr>
          <w:rFonts w:asciiTheme="minorHAnsi" w:hAnsiTheme="minorHAnsi" w:cstheme="minorHAnsi"/>
          <w:color w:val="000000" w:themeColor="text1"/>
          <w:sz w:val="22"/>
          <w:szCs w:val="22"/>
        </w:rPr>
        <w:t>R</w:t>
      </w:r>
      <w:r w:rsidR="00C74765" w:rsidRPr="00FE58FE">
        <w:rPr>
          <w:rFonts w:asciiTheme="minorHAnsi" w:hAnsiTheme="minorHAnsi" w:cstheme="minorHAnsi"/>
          <w:color w:val="000000" w:themeColor="text1"/>
          <w:sz w:val="22"/>
          <w:szCs w:val="22"/>
        </w:rPr>
        <w:t>equiring timebound disclosure of project information in advance of approval</w:t>
      </w:r>
      <w:r w:rsidR="00D245FE">
        <w:rPr>
          <w:rFonts w:asciiTheme="minorHAnsi" w:hAnsiTheme="minorHAnsi" w:cstheme="minorHAnsi"/>
          <w:color w:val="000000" w:themeColor="text1"/>
          <w:sz w:val="22"/>
          <w:szCs w:val="22"/>
        </w:rPr>
        <w:t>;</w:t>
      </w:r>
    </w:p>
    <w:p w14:paraId="44BE2296" w14:textId="28614F4D" w:rsidR="00090858" w:rsidRPr="002318DC" w:rsidRDefault="00090858" w:rsidP="00090858">
      <w:pPr>
        <w:pStyle w:val="BodyA"/>
        <w:numPr>
          <w:ilvl w:val="0"/>
          <w:numId w:val="2"/>
        </w:numPr>
        <w:spacing w:after="80" w:line="276" w:lineRule="auto"/>
        <w:rPr>
          <w:rFonts w:asciiTheme="minorHAnsi" w:hAnsiTheme="minorHAnsi" w:cstheme="minorHAnsi"/>
        </w:rPr>
      </w:pPr>
      <w:r w:rsidRPr="002318DC">
        <w:rPr>
          <w:rStyle w:val="None"/>
          <w:rFonts w:asciiTheme="minorHAnsi" w:hAnsiTheme="minorHAnsi" w:cstheme="minorHAnsi"/>
        </w:rPr>
        <w:t>Disclos</w:t>
      </w:r>
      <w:r w:rsidR="00FE58FE">
        <w:rPr>
          <w:rStyle w:val="None"/>
          <w:rFonts w:asciiTheme="minorHAnsi" w:hAnsiTheme="minorHAnsi" w:cstheme="minorHAnsi"/>
        </w:rPr>
        <w:t>ure of</w:t>
      </w:r>
      <w:r w:rsidRPr="002318DC">
        <w:rPr>
          <w:rStyle w:val="None"/>
          <w:rFonts w:asciiTheme="minorHAnsi" w:hAnsiTheme="minorHAnsi" w:cstheme="minorHAnsi"/>
        </w:rPr>
        <w:t xml:space="preserve"> the </w:t>
      </w:r>
      <w:r w:rsidRPr="002318DC">
        <w:rPr>
          <w:rStyle w:val="None"/>
          <w:rFonts w:asciiTheme="minorHAnsi" w:hAnsiTheme="minorHAnsi" w:cstheme="minorHAnsi"/>
          <w:b/>
          <w:bCs/>
        </w:rPr>
        <w:t>name, sector and location of higher risk sub-projects</w:t>
      </w:r>
      <w:r w:rsidRPr="002318DC">
        <w:rPr>
          <w:rStyle w:val="None"/>
          <w:rFonts w:asciiTheme="minorHAnsi" w:hAnsiTheme="minorHAnsi" w:cstheme="minorHAnsi"/>
        </w:rPr>
        <w:t xml:space="preserve"> financed via FIs on the AIIB’s website and on the client’s website;</w:t>
      </w:r>
    </w:p>
    <w:p w14:paraId="344E8E84" w14:textId="05194D2E" w:rsidR="00090858" w:rsidRPr="00FE58FE" w:rsidRDefault="00FE58FE" w:rsidP="00FE58FE">
      <w:pPr>
        <w:pStyle w:val="BodyA"/>
        <w:numPr>
          <w:ilvl w:val="0"/>
          <w:numId w:val="2"/>
        </w:numPr>
        <w:spacing w:after="80" w:line="276" w:lineRule="auto"/>
        <w:rPr>
          <w:rFonts w:asciiTheme="minorHAnsi" w:hAnsiTheme="minorHAnsi" w:cstheme="minorHAnsi"/>
        </w:rPr>
      </w:pPr>
      <w:r>
        <w:rPr>
          <w:rStyle w:val="None"/>
          <w:rFonts w:asciiTheme="minorHAnsi" w:hAnsiTheme="minorHAnsi" w:cstheme="minorHAnsi"/>
          <w:bCs/>
        </w:rPr>
        <w:t>Disclosure of</w:t>
      </w:r>
      <w:r w:rsidRPr="00FE58FE">
        <w:rPr>
          <w:rStyle w:val="None"/>
          <w:rFonts w:asciiTheme="minorHAnsi" w:hAnsiTheme="minorHAnsi" w:cstheme="minorHAnsi"/>
          <w:bCs/>
        </w:rPr>
        <w:t xml:space="preserve"> </w:t>
      </w:r>
      <w:r w:rsidR="00090858" w:rsidRPr="00FE58FE">
        <w:rPr>
          <w:rStyle w:val="None"/>
          <w:rFonts w:asciiTheme="minorHAnsi" w:hAnsiTheme="minorHAnsi" w:cstheme="minorHAnsi"/>
          <w:bCs/>
        </w:rPr>
        <w:t>the AIIB’s involvement</w:t>
      </w:r>
      <w:r w:rsidR="00090858" w:rsidRPr="002318DC">
        <w:rPr>
          <w:rStyle w:val="None"/>
          <w:rFonts w:asciiTheme="minorHAnsi" w:hAnsiTheme="minorHAnsi" w:cstheme="minorHAnsi"/>
        </w:rPr>
        <w:t xml:space="preserve"> in sub-projects at the project sites, </w:t>
      </w:r>
      <w:r w:rsidR="00090858" w:rsidRPr="002318DC">
        <w:rPr>
          <w:rFonts w:asciiTheme="minorHAnsi" w:hAnsiTheme="minorHAnsi" w:cstheme="minorHAnsi"/>
        </w:rPr>
        <w:t xml:space="preserve">ensuring that it is clearly visible and understandable to </w:t>
      </w:r>
      <w:r w:rsidR="00090858" w:rsidRPr="002318DC">
        <w:rPr>
          <w:rStyle w:val="None"/>
          <w:rFonts w:asciiTheme="minorHAnsi" w:hAnsiTheme="minorHAnsi" w:cstheme="minorHAnsi"/>
        </w:rPr>
        <w:t>affected communities;</w:t>
      </w:r>
    </w:p>
    <w:p w14:paraId="48C22568" w14:textId="65E54C6F" w:rsidR="00CA782B" w:rsidRPr="002318DC" w:rsidRDefault="00CA782B" w:rsidP="002318DC">
      <w:pPr>
        <w:spacing w:line="276" w:lineRule="auto"/>
        <w:rPr>
          <w:rFonts w:asciiTheme="minorHAnsi" w:hAnsiTheme="minorHAnsi" w:cstheme="minorHAnsi"/>
          <w:color w:val="000000" w:themeColor="text1"/>
          <w:sz w:val="22"/>
          <w:szCs w:val="22"/>
        </w:rPr>
      </w:pPr>
    </w:p>
    <w:p w14:paraId="28B21C10" w14:textId="7A83B934" w:rsidR="00CA782B" w:rsidRPr="002318DC" w:rsidRDefault="007A4A89" w:rsidP="002318DC">
      <w:pPr>
        <w:pStyle w:val="ListParagraph"/>
        <w:numPr>
          <w:ilvl w:val="0"/>
          <w:numId w:val="3"/>
        </w:numPr>
        <w:spacing w:line="276" w:lineRule="auto"/>
        <w:rPr>
          <w:rFonts w:asciiTheme="minorHAnsi" w:hAnsiTheme="minorHAnsi" w:cstheme="minorHAnsi"/>
          <w:b/>
          <w:color w:val="4472C4" w:themeColor="accent1"/>
          <w:sz w:val="22"/>
          <w:szCs w:val="22"/>
        </w:rPr>
      </w:pPr>
      <w:r w:rsidRPr="002318DC">
        <w:rPr>
          <w:rFonts w:asciiTheme="minorHAnsi" w:hAnsiTheme="minorHAnsi" w:cstheme="minorHAnsi"/>
          <w:b/>
          <w:color w:val="4472C4" w:themeColor="accent1"/>
          <w:sz w:val="22"/>
          <w:szCs w:val="22"/>
        </w:rPr>
        <w:t>Climate change mitigation</w:t>
      </w:r>
    </w:p>
    <w:p w14:paraId="2B71CBCE" w14:textId="77777777" w:rsidR="00BD0EDD" w:rsidRPr="002318DC" w:rsidRDefault="00BD0EDD" w:rsidP="002318DC">
      <w:pPr>
        <w:spacing w:line="276" w:lineRule="auto"/>
        <w:rPr>
          <w:rFonts w:asciiTheme="minorHAnsi" w:hAnsiTheme="minorHAnsi" w:cstheme="minorHAnsi"/>
          <w:sz w:val="22"/>
          <w:szCs w:val="22"/>
        </w:rPr>
      </w:pPr>
    </w:p>
    <w:p w14:paraId="3410742B" w14:textId="3708269A" w:rsidR="003A3706" w:rsidRPr="002318DC" w:rsidRDefault="003A3706" w:rsidP="002318DC">
      <w:pPr>
        <w:spacing w:line="276" w:lineRule="auto"/>
        <w:rPr>
          <w:rFonts w:asciiTheme="minorHAnsi" w:hAnsiTheme="minorHAnsi" w:cstheme="minorHAnsi"/>
          <w:sz w:val="22"/>
          <w:szCs w:val="22"/>
        </w:rPr>
      </w:pPr>
      <w:r w:rsidRPr="002318DC">
        <w:rPr>
          <w:rFonts w:asciiTheme="minorHAnsi" w:hAnsiTheme="minorHAnsi" w:cstheme="minorHAnsi"/>
          <w:sz w:val="22"/>
          <w:szCs w:val="22"/>
        </w:rPr>
        <w:t>The AIIB’s Energy Sector Strategy commits to align with the Paris Agreement on Climate Change</w:t>
      </w:r>
      <w:r w:rsidR="00AC2747" w:rsidRPr="002318DC">
        <w:rPr>
          <w:rFonts w:asciiTheme="minorHAnsi" w:hAnsiTheme="minorHAnsi" w:cstheme="minorHAnsi"/>
          <w:sz w:val="22"/>
          <w:szCs w:val="22"/>
        </w:rPr>
        <w:t>. A</w:t>
      </w:r>
      <w:r w:rsidR="006E3B1B" w:rsidRPr="002318DC">
        <w:rPr>
          <w:rFonts w:asciiTheme="minorHAnsi" w:hAnsiTheme="minorHAnsi" w:cstheme="minorHAnsi"/>
          <w:sz w:val="22"/>
          <w:szCs w:val="22"/>
        </w:rPr>
        <w:t>ddressing</w:t>
      </w:r>
      <w:r w:rsidR="005C6F46" w:rsidRPr="002318DC">
        <w:rPr>
          <w:rFonts w:asciiTheme="minorHAnsi" w:hAnsiTheme="minorHAnsi" w:cstheme="minorHAnsi"/>
          <w:sz w:val="22"/>
          <w:szCs w:val="22"/>
        </w:rPr>
        <w:t xml:space="preserve"> AIIB lending through financial intermediaries</w:t>
      </w:r>
      <w:r w:rsidR="006E3B1B" w:rsidRPr="002318DC">
        <w:rPr>
          <w:rFonts w:asciiTheme="minorHAnsi" w:hAnsiTheme="minorHAnsi" w:cstheme="minorHAnsi"/>
          <w:sz w:val="22"/>
          <w:szCs w:val="22"/>
        </w:rPr>
        <w:t xml:space="preserve"> is crucial in ensuring both direct and indirect investments uphold this commitment.</w:t>
      </w:r>
    </w:p>
    <w:p w14:paraId="5CFD9FA3" w14:textId="77777777" w:rsidR="003A3706" w:rsidRPr="002318DC" w:rsidRDefault="003A3706" w:rsidP="002318DC">
      <w:pPr>
        <w:spacing w:line="276" w:lineRule="auto"/>
        <w:rPr>
          <w:rFonts w:asciiTheme="minorHAnsi" w:hAnsiTheme="minorHAnsi" w:cstheme="minorHAnsi"/>
          <w:color w:val="000000"/>
          <w:sz w:val="22"/>
          <w:szCs w:val="22"/>
        </w:rPr>
      </w:pPr>
    </w:p>
    <w:p w14:paraId="4875CC1E" w14:textId="5CC5E6F4" w:rsidR="003A3706" w:rsidRPr="002318DC" w:rsidRDefault="006E3B1B" w:rsidP="002318DC">
      <w:pPr>
        <w:spacing w:line="276" w:lineRule="auto"/>
        <w:rPr>
          <w:rFonts w:asciiTheme="minorHAnsi" w:hAnsiTheme="minorHAnsi" w:cstheme="minorHAnsi"/>
          <w:sz w:val="22"/>
          <w:szCs w:val="22"/>
        </w:rPr>
      </w:pPr>
      <w:r w:rsidRPr="002318DC">
        <w:rPr>
          <w:rFonts w:asciiTheme="minorHAnsi" w:hAnsiTheme="minorHAnsi" w:cstheme="minorHAnsi"/>
          <w:color w:val="000000"/>
          <w:sz w:val="22"/>
          <w:szCs w:val="22"/>
        </w:rPr>
        <w:t xml:space="preserve">A first step is to ensure FI investments exclude coal. </w:t>
      </w:r>
      <w:r w:rsidR="003A3706" w:rsidRPr="002318DC">
        <w:rPr>
          <w:rFonts w:asciiTheme="minorHAnsi" w:hAnsiTheme="minorHAnsi" w:cstheme="minorHAnsi"/>
          <w:color w:val="000000"/>
          <w:sz w:val="22"/>
          <w:szCs w:val="22"/>
        </w:rPr>
        <w:t>Environmental analysts E3G note</w:t>
      </w:r>
      <w:r w:rsidR="00D94E2E">
        <w:rPr>
          <w:rFonts w:asciiTheme="minorHAnsi" w:hAnsiTheme="minorHAnsi" w:cstheme="minorHAnsi"/>
          <w:color w:val="000000"/>
          <w:sz w:val="22"/>
          <w:szCs w:val="22"/>
        </w:rPr>
        <w:t>:</w:t>
      </w:r>
      <w:r w:rsidR="003A3706" w:rsidRPr="002318DC">
        <w:rPr>
          <w:rFonts w:asciiTheme="minorHAnsi" w:hAnsiTheme="minorHAnsi" w:cstheme="minorHAnsi"/>
          <w:color w:val="000000"/>
          <w:sz w:val="22"/>
          <w:szCs w:val="22"/>
        </w:rPr>
        <w:t xml:space="preserve"> “To meet the Paris Agreement, </w:t>
      </w:r>
      <w:hyperlink r:id="rId11" w:history="1">
        <w:r w:rsidR="003A3706" w:rsidRPr="002318DC">
          <w:rPr>
            <w:rFonts w:asciiTheme="minorHAnsi" w:hAnsiTheme="minorHAnsi" w:cstheme="minorHAnsi"/>
            <w:color w:val="000000"/>
            <w:sz w:val="22"/>
            <w:szCs w:val="22"/>
          </w:rPr>
          <w:t>the science shows that coal phase-out is needed by 2030</w:t>
        </w:r>
      </w:hyperlink>
      <w:r w:rsidR="003A3706" w:rsidRPr="002318DC">
        <w:rPr>
          <w:rFonts w:asciiTheme="minorHAnsi" w:hAnsiTheme="minorHAnsi" w:cstheme="minorHAnsi"/>
          <w:color w:val="000000"/>
          <w:sz w:val="22"/>
          <w:szCs w:val="22"/>
        </w:rPr>
        <w:t xml:space="preserve"> in the OECD and EU28, 2040 for China and </w:t>
      </w:r>
      <w:r w:rsidR="003A3706" w:rsidRPr="002318DC">
        <w:rPr>
          <w:rFonts w:asciiTheme="minorHAnsi" w:hAnsiTheme="minorHAnsi" w:cstheme="minorHAnsi"/>
          <w:b/>
          <w:color w:val="000000"/>
          <w:sz w:val="22"/>
          <w:szCs w:val="22"/>
        </w:rPr>
        <w:t>no later than 2050 for the rest of the world.</w:t>
      </w:r>
      <w:r w:rsidR="003A3706" w:rsidRPr="00CC035D">
        <w:rPr>
          <w:rStyle w:val="FootnoteReference"/>
          <w:rFonts w:asciiTheme="minorHAnsi" w:hAnsiTheme="minorHAnsi" w:cstheme="minorHAnsi"/>
          <w:color w:val="000000"/>
          <w:sz w:val="22"/>
          <w:szCs w:val="22"/>
        </w:rPr>
        <w:footnoteReference w:id="8"/>
      </w:r>
      <w:r w:rsidR="003A3706" w:rsidRPr="002318DC">
        <w:rPr>
          <w:rFonts w:asciiTheme="minorHAnsi" w:hAnsiTheme="minorHAnsi" w:cstheme="minorHAnsi"/>
          <w:color w:val="000000"/>
          <w:sz w:val="22"/>
          <w:szCs w:val="22"/>
        </w:rPr>
        <w:t xml:space="preserve"> Considering the average life-span </w:t>
      </w:r>
      <w:r w:rsidR="003A3706" w:rsidRPr="002318DC">
        <w:rPr>
          <w:rFonts w:asciiTheme="minorHAnsi" w:hAnsiTheme="minorHAnsi" w:cstheme="minorHAnsi"/>
          <w:color w:val="000000"/>
          <w:sz w:val="22"/>
          <w:szCs w:val="22"/>
        </w:rPr>
        <w:lastRenderedPageBreak/>
        <w:t>of a coal plant is 40 years, any new and existing investments would directly contradict meeting the goals of the Paris Agreement and will cause catastrophic climate change.”</w:t>
      </w:r>
      <w:r w:rsidR="003A3706" w:rsidRPr="002318DC">
        <w:rPr>
          <w:rStyle w:val="FootnoteReference"/>
          <w:rFonts w:asciiTheme="minorHAnsi" w:hAnsiTheme="minorHAnsi" w:cstheme="minorHAnsi"/>
          <w:color w:val="000000"/>
          <w:sz w:val="22"/>
          <w:szCs w:val="22"/>
        </w:rPr>
        <w:footnoteReference w:id="9"/>
      </w:r>
    </w:p>
    <w:p w14:paraId="655C8C05" w14:textId="77777777" w:rsidR="003A3706" w:rsidRPr="002318DC" w:rsidRDefault="003A3706" w:rsidP="002318DC">
      <w:pPr>
        <w:spacing w:line="276" w:lineRule="auto"/>
        <w:rPr>
          <w:rFonts w:asciiTheme="minorHAnsi" w:hAnsiTheme="minorHAnsi" w:cstheme="minorHAnsi"/>
          <w:sz w:val="22"/>
          <w:szCs w:val="22"/>
        </w:rPr>
      </w:pPr>
    </w:p>
    <w:p w14:paraId="2B23EB7D" w14:textId="15F4C5A7" w:rsidR="006E3B1B" w:rsidRPr="002318DC" w:rsidRDefault="006E3B1B" w:rsidP="002318DC">
      <w:pPr>
        <w:spacing w:line="276" w:lineRule="auto"/>
        <w:rPr>
          <w:rFonts w:asciiTheme="minorHAnsi" w:hAnsiTheme="minorHAnsi" w:cstheme="minorHAnsi"/>
          <w:sz w:val="22"/>
          <w:szCs w:val="22"/>
        </w:rPr>
      </w:pPr>
      <w:r w:rsidRPr="002318DC">
        <w:rPr>
          <w:rFonts w:asciiTheme="minorHAnsi" w:hAnsiTheme="minorHAnsi" w:cstheme="minorHAnsi"/>
          <w:sz w:val="22"/>
          <w:szCs w:val="22"/>
        </w:rPr>
        <w:t>Many</w:t>
      </w:r>
      <w:r w:rsidR="00662971">
        <w:rPr>
          <w:rFonts w:asciiTheme="minorHAnsi" w:hAnsiTheme="minorHAnsi" w:cstheme="minorHAnsi"/>
          <w:sz w:val="22"/>
          <w:szCs w:val="22"/>
        </w:rPr>
        <w:t xml:space="preserve"> financial institutions</w:t>
      </w:r>
      <w:r w:rsidRPr="002318DC">
        <w:rPr>
          <w:rFonts w:asciiTheme="minorHAnsi" w:hAnsiTheme="minorHAnsi" w:cstheme="minorHAnsi"/>
          <w:sz w:val="22"/>
          <w:szCs w:val="22"/>
        </w:rPr>
        <w:t xml:space="preserve"> are beginning to address this challenge in their policies. Some emerging policy and practice </w:t>
      </w:r>
      <w:r w:rsidR="00F25992" w:rsidRPr="002318DC">
        <w:rPr>
          <w:rFonts w:asciiTheme="minorHAnsi" w:hAnsiTheme="minorHAnsi" w:cstheme="minorHAnsi"/>
          <w:sz w:val="22"/>
          <w:szCs w:val="22"/>
        </w:rPr>
        <w:t>are</w:t>
      </w:r>
      <w:r w:rsidRPr="002318DC">
        <w:rPr>
          <w:rFonts w:asciiTheme="minorHAnsi" w:hAnsiTheme="minorHAnsi" w:cstheme="minorHAnsi"/>
          <w:sz w:val="22"/>
          <w:szCs w:val="22"/>
        </w:rPr>
        <w:t xml:space="preserve"> highlighted below.</w:t>
      </w:r>
    </w:p>
    <w:p w14:paraId="5B830DE6" w14:textId="77777777" w:rsidR="006E3B1B" w:rsidRPr="002318DC" w:rsidRDefault="006E3B1B" w:rsidP="002318DC">
      <w:pPr>
        <w:spacing w:line="276" w:lineRule="auto"/>
        <w:rPr>
          <w:rFonts w:asciiTheme="minorHAnsi" w:hAnsiTheme="minorHAnsi" w:cstheme="minorHAnsi"/>
          <w:sz w:val="22"/>
          <w:szCs w:val="22"/>
        </w:rPr>
      </w:pPr>
    </w:p>
    <w:p w14:paraId="460B7B2A" w14:textId="45B61D89" w:rsidR="006E3B1B" w:rsidRPr="002318DC" w:rsidRDefault="00D56E26" w:rsidP="002318DC">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The </w:t>
      </w:r>
      <w:r w:rsidR="00B56794" w:rsidRPr="002318DC">
        <w:rPr>
          <w:rFonts w:asciiTheme="minorHAnsi" w:hAnsiTheme="minorHAnsi" w:cstheme="minorHAnsi"/>
          <w:b/>
          <w:sz w:val="22"/>
          <w:szCs w:val="22"/>
        </w:rPr>
        <w:t>International Finance Corporation</w:t>
      </w:r>
    </w:p>
    <w:p w14:paraId="41799574" w14:textId="77777777" w:rsidR="00D4350C" w:rsidRPr="002318DC" w:rsidRDefault="00D4350C" w:rsidP="002318DC">
      <w:pPr>
        <w:spacing w:line="276" w:lineRule="auto"/>
        <w:rPr>
          <w:rFonts w:asciiTheme="minorHAnsi" w:hAnsiTheme="minorHAnsi" w:cstheme="minorHAnsi"/>
          <w:b/>
          <w:sz w:val="22"/>
          <w:szCs w:val="22"/>
        </w:rPr>
      </w:pPr>
    </w:p>
    <w:p w14:paraId="640E06A9" w14:textId="3752B3EA" w:rsidR="00D55824" w:rsidRPr="002318DC" w:rsidRDefault="003250AF" w:rsidP="002318DC">
      <w:pPr>
        <w:spacing w:line="276" w:lineRule="auto"/>
        <w:rPr>
          <w:rFonts w:asciiTheme="minorHAnsi" w:hAnsiTheme="minorHAnsi" w:cstheme="minorHAnsi"/>
          <w:sz w:val="22"/>
          <w:szCs w:val="22"/>
        </w:rPr>
      </w:pPr>
      <w:r w:rsidRPr="002318DC">
        <w:rPr>
          <w:rFonts w:asciiTheme="minorHAnsi" w:hAnsiTheme="minorHAnsi" w:cstheme="minorHAnsi"/>
          <w:sz w:val="22"/>
          <w:szCs w:val="22"/>
        </w:rPr>
        <w:t xml:space="preserve">The CEO of the IFC, Philippe Le </w:t>
      </w:r>
      <w:proofErr w:type="spellStart"/>
      <w:r w:rsidRPr="002318DC">
        <w:rPr>
          <w:rFonts w:asciiTheme="minorHAnsi" w:hAnsiTheme="minorHAnsi" w:cstheme="minorHAnsi"/>
          <w:sz w:val="22"/>
          <w:szCs w:val="22"/>
        </w:rPr>
        <w:t>Houérou</w:t>
      </w:r>
      <w:proofErr w:type="spellEnd"/>
      <w:r w:rsidRPr="002318DC">
        <w:rPr>
          <w:rFonts w:asciiTheme="minorHAnsi" w:hAnsiTheme="minorHAnsi" w:cstheme="minorHAnsi"/>
          <w:sz w:val="22"/>
          <w:szCs w:val="22"/>
        </w:rPr>
        <w:t>,</w:t>
      </w:r>
      <w:r w:rsidR="00675E16" w:rsidRPr="002318DC">
        <w:rPr>
          <w:rFonts w:asciiTheme="minorHAnsi" w:hAnsiTheme="minorHAnsi" w:cstheme="minorHAnsi"/>
          <w:sz w:val="22"/>
          <w:szCs w:val="22"/>
        </w:rPr>
        <w:t xml:space="preserve"> </w:t>
      </w:r>
      <w:r w:rsidR="00D55824" w:rsidRPr="002318DC">
        <w:rPr>
          <w:rFonts w:asciiTheme="minorHAnsi" w:hAnsiTheme="minorHAnsi" w:cstheme="minorHAnsi"/>
          <w:sz w:val="22"/>
          <w:szCs w:val="22"/>
        </w:rPr>
        <w:t>is instituting a number of significant reforms at the IFC aimed at reducing its fossil fuel exposure, including in its financial intermediary business.</w:t>
      </w:r>
    </w:p>
    <w:p w14:paraId="0A938A9D" w14:textId="77777777" w:rsidR="00D55824" w:rsidRPr="002318DC" w:rsidRDefault="00D55824" w:rsidP="002318DC">
      <w:pPr>
        <w:spacing w:line="276" w:lineRule="auto"/>
        <w:rPr>
          <w:rFonts w:asciiTheme="minorHAnsi" w:hAnsiTheme="minorHAnsi" w:cstheme="minorHAnsi"/>
          <w:sz w:val="22"/>
          <w:szCs w:val="22"/>
        </w:rPr>
      </w:pPr>
    </w:p>
    <w:p w14:paraId="780AB619" w14:textId="09227949" w:rsidR="00BD0EDD" w:rsidRPr="002318DC" w:rsidRDefault="00BD0EDD" w:rsidP="002318DC">
      <w:pPr>
        <w:spacing w:line="276" w:lineRule="auto"/>
        <w:rPr>
          <w:rFonts w:asciiTheme="minorHAnsi" w:hAnsiTheme="minorHAnsi" w:cstheme="minorHAnsi"/>
          <w:sz w:val="22"/>
          <w:szCs w:val="22"/>
        </w:rPr>
      </w:pPr>
      <w:r w:rsidRPr="002318DC">
        <w:rPr>
          <w:rFonts w:asciiTheme="minorHAnsi" w:hAnsiTheme="minorHAnsi" w:cstheme="minorHAnsi"/>
          <w:sz w:val="22"/>
          <w:szCs w:val="22"/>
        </w:rPr>
        <w:t xml:space="preserve">In its new </w:t>
      </w:r>
      <w:hyperlink r:id="rId12">
        <w:r w:rsidRPr="002318DC">
          <w:rPr>
            <w:rFonts w:asciiTheme="minorHAnsi" w:hAnsiTheme="minorHAnsi" w:cstheme="minorHAnsi"/>
            <w:color w:val="1155CC"/>
            <w:sz w:val="22"/>
            <w:szCs w:val="22"/>
            <w:u w:val="single"/>
          </w:rPr>
          <w:t>Interpretation Note</w:t>
        </w:r>
      </w:hyperlink>
      <w:r w:rsidRPr="002318DC">
        <w:rPr>
          <w:rFonts w:asciiTheme="minorHAnsi" w:hAnsiTheme="minorHAnsi" w:cstheme="minorHAnsi"/>
          <w:sz w:val="22"/>
          <w:szCs w:val="22"/>
        </w:rPr>
        <w:t xml:space="preserve"> for financial intermediaries from November 2018, the IFC states: “The Exclusion List can be extended by adding more excluded activities, as part of the E&amp;S risk management efforts. For instance, in case of any targeted products IFC will </w:t>
      </w:r>
      <w:r w:rsidRPr="002318DC">
        <w:rPr>
          <w:rFonts w:asciiTheme="minorHAnsi" w:hAnsiTheme="minorHAnsi" w:cstheme="minorHAnsi"/>
          <w:b/>
          <w:sz w:val="22"/>
          <w:szCs w:val="22"/>
        </w:rPr>
        <w:t>exclude coal related sub-projects including coal mining, coal transportation or coal-fired power plants</w:t>
      </w:r>
      <w:r w:rsidRPr="002318DC">
        <w:rPr>
          <w:rFonts w:asciiTheme="minorHAnsi" w:hAnsiTheme="minorHAnsi" w:cstheme="minorHAnsi"/>
          <w:sz w:val="22"/>
          <w:szCs w:val="22"/>
        </w:rPr>
        <w:t>, as well as infrastructure services exclusively dedicated to support any of these activities. In case of projects involving collective investment vehicles such as PE Funds, the coal related investments will be either excluded up front or when this is not feasible IFC will opt out from such investments.”</w:t>
      </w:r>
    </w:p>
    <w:p w14:paraId="4DF8C29C" w14:textId="77777777" w:rsidR="00BD0EDD" w:rsidRPr="002318DC" w:rsidRDefault="00BD0EDD" w:rsidP="002318DC">
      <w:pPr>
        <w:spacing w:line="276" w:lineRule="auto"/>
        <w:rPr>
          <w:rFonts w:asciiTheme="minorHAnsi" w:hAnsiTheme="minorHAnsi" w:cstheme="minorHAnsi"/>
          <w:sz w:val="22"/>
          <w:szCs w:val="22"/>
        </w:rPr>
      </w:pPr>
    </w:p>
    <w:p w14:paraId="7627CEFB" w14:textId="59032153" w:rsidR="00BD0EDD" w:rsidRPr="002318DC" w:rsidRDefault="00BD0EDD" w:rsidP="002318DC">
      <w:pPr>
        <w:spacing w:line="276" w:lineRule="auto"/>
        <w:rPr>
          <w:rFonts w:asciiTheme="minorHAnsi" w:hAnsiTheme="minorHAnsi" w:cstheme="minorHAnsi"/>
          <w:sz w:val="22"/>
          <w:szCs w:val="22"/>
        </w:rPr>
      </w:pPr>
      <w:r w:rsidRPr="002318DC">
        <w:rPr>
          <w:rFonts w:asciiTheme="minorHAnsi" w:hAnsiTheme="minorHAnsi" w:cstheme="minorHAnsi"/>
          <w:sz w:val="22"/>
          <w:szCs w:val="22"/>
        </w:rPr>
        <w:t>The IFC also committed in the Interpretation Note to improve disclosure around coal exposure, including by requiring FI clients to report annually to the IFC: “For an FI, E&amp;S performance reports</w:t>
      </w:r>
      <w:r w:rsidRPr="002318DC">
        <w:rPr>
          <w:rFonts w:asciiTheme="minorHAnsi" w:hAnsiTheme="minorHAnsi" w:cstheme="minorHAnsi"/>
          <w:sz w:val="22"/>
          <w:szCs w:val="22"/>
          <w:vertAlign w:val="superscript"/>
        </w:rPr>
        <w:t xml:space="preserve"> </w:t>
      </w:r>
      <w:r w:rsidRPr="002318DC">
        <w:rPr>
          <w:rFonts w:asciiTheme="minorHAnsi" w:hAnsiTheme="minorHAnsi" w:cstheme="minorHAnsi"/>
          <w:sz w:val="22"/>
          <w:szCs w:val="22"/>
        </w:rPr>
        <w:t>to IFC should typically include: ...</w:t>
      </w:r>
      <w:r w:rsidR="00D245FE">
        <w:rPr>
          <w:rFonts w:asciiTheme="minorHAnsi" w:hAnsiTheme="minorHAnsi" w:cstheme="minorHAnsi"/>
          <w:sz w:val="22"/>
          <w:szCs w:val="22"/>
        </w:rPr>
        <w:t xml:space="preserve"> </w:t>
      </w:r>
      <w:r w:rsidRPr="002318DC">
        <w:rPr>
          <w:rFonts w:asciiTheme="minorHAnsi" w:hAnsiTheme="minorHAnsi" w:cstheme="minorHAnsi"/>
          <w:sz w:val="22"/>
          <w:szCs w:val="22"/>
        </w:rPr>
        <w:t>Where relevant, the FI clients’ exposures to high risk activities (e.g. coal related activities, palm oil, etc.)”</w:t>
      </w:r>
    </w:p>
    <w:p w14:paraId="703C77BB" w14:textId="77777777" w:rsidR="00BD0EDD" w:rsidRPr="002318DC" w:rsidRDefault="00BD0EDD" w:rsidP="002318DC">
      <w:pPr>
        <w:spacing w:line="276" w:lineRule="auto"/>
        <w:rPr>
          <w:rFonts w:asciiTheme="minorHAnsi" w:hAnsiTheme="minorHAnsi" w:cstheme="minorHAnsi"/>
          <w:sz w:val="22"/>
          <w:szCs w:val="22"/>
        </w:rPr>
      </w:pPr>
    </w:p>
    <w:p w14:paraId="5ACA2736" w14:textId="4D34E5CE" w:rsidR="00BD0EDD" w:rsidRPr="002318DC" w:rsidRDefault="00F0578A" w:rsidP="002318DC">
      <w:pPr>
        <w:spacing w:line="276" w:lineRule="auto"/>
        <w:rPr>
          <w:rFonts w:asciiTheme="minorHAnsi" w:hAnsiTheme="minorHAnsi" w:cstheme="minorHAnsi"/>
          <w:color w:val="000000" w:themeColor="text1"/>
          <w:sz w:val="22"/>
          <w:szCs w:val="22"/>
          <w:highlight w:val="white"/>
        </w:rPr>
      </w:pPr>
      <w:r w:rsidRPr="002318DC">
        <w:rPr>
          <w:rFonts w:asciiTheme="minorHAnsi" w:hAnsiTheme="minorHAnsi" w:cstheme="minorHAnsi"/>
          <w:color w:val="000000" w:themeColor="text1"/>
          <w:sz w:val="22"/>
          <w:szCs w:val="22"/>
        </w:rPr>
        <w:t>The IFC also commits to make this information on</w:t>
      </w:r>
      <w:r w:rsidR="00BD0EDD" w:rsidRPr="002318DC">
        <w:rPr>
          <w:rFonts w:asciiTheme="minorHAnsi" w:hAnsiTheme="minorHAnsi" w:cstheme="minorHAnsi"/>
          <w:color w:val="000000" w:themeColor="text1"/>
          <w:sz w:val="22"/>
          <w:szCs w:val="22"/>
        </w:rPr>
        <w:t xml:space="preserve"> coal exposure public: “</w:t>
      </w:r>
      <w:r w:rsidR="00BD0EDD" w:rsidRPr="002318DC">
        <w:rPr>
          <w:rFonts w:asciiTheme="minorHAnsi" w:hAnsiTheme="minorHAnsi" w:cstheme="minorHAnsi"/>
          <w:color w:val="000000" w:themeColor="text1"/>
          <w:sz w:val="22"/>
          <w:szCs w:val="22"/>
          <w:highlight w:val="white"/>
        </w:rPr>
        <w:t>We will require new equity financial intermediary clients exposed to coal projects to publicly disclose their total exposure in this sector.”</w:t>
      </w:r>
      <w:r w:rsidR="001E1BDF" w:rsidRPr="002318DC">
        <w:rPr>
          <w:rStyle w:val="FootnoteReference"/>
          <w:rFonts w:asciiTheme="minorHAnsi" w:hAnsiTheme="minorHAnsi" w:cstheme="minorHAnsi"/>
          <w:color w:val="000000" w:themeColor="text1"/>
          <w:sz w:val="22"/>
          <w:szCs w:val="22"/>
          <w:highlight w:val="white"/>
        </w:rPr>
        <w:footnoteReference w:id="10"/>
      </w:r>
    </w:p>
    <w:p w14:paraId="2A64F082" w14:textId="6207C591" w:rsidR="00DE209F" w:rsidRPr="002318DC" w:rsidRDefault="00DE209F" w:rsidP="002318DC">
      <w:pPr>
        <w:spacing w:line="276" w:lineRule="auto"/>
        <w:rPr>
          <w:rFonts w:asciiTheme="minorHAnsi" w:hAnsiTheme="minorHAnsi" w:cstheme="minorHAnsi"/>
          <w:b/>
          <w:color w:val="000000" w:themeColor="text1"/>
          <w:sz w:val="22"/>
          <w:szCs w:val="22"/>
        </w:rPr>
      </w:pPr>
    </w:p>
    <w:p w14:paraId="16DBF54C" w14:textId="5AE63912" w:rsidR="00C667F4" w:rsidRPr="002318DC" w:rsidRDefault="00711B74" w:rsidP="002318DC">
      <w:pPr>
        <w:spacing w:line="276" w:lineRule="auto"/>
        <w:rPr>
          <w:rFonts w:asciiTheme="minorHAnsi" w:hAnsiTheme="minorHAnsi" w:cstheme="minorHAnsi"/>
          <w:color w:val="000000" w:themeColor="text1"/>
          <w:sz w:val="22"/>
          <w:szCs w:val="22"/>
        </w:rPr>
      </w:pPr>
      <w:r w:rsidRPr="002318DC">
        <w:rPr>
          <w:rFonts w:asciiTheme="minorHAnsi" w:hAnsiTheme="minorHAnsi" w:cstheme="minorHAnsi"/>
          <w:color w:val="000000" w:themeColor="text1"/>
          <w:sz w:val="22"/>
          <w:szCs w:val="22"/>
        </w:rPr>
        <w:t xml:space="preserve">In February 2019, the IFC went further and </w:t>
      </w:r>
      <w:r w:rsidR="00C667F4" w:rsidRPr="002318DC">
        <w:rPr>
          <w:rFonts w:asciiTheme="minorHAnsi" w:hAnsiTheme="minorHAnsi" w:cstheme="minorHAnsi"/>
          <w:color w:val="000000" w:themeColor="text1"/>
          <w:sz w:val="22"/>
          <w:szCs w:val="22"/>
        </w:rPr>
        <w:t xml:space="preserve">shared a draft </w:t>
      </w:r>
      <w:r w:rsidR="00C667F4" w:rsidRPr="002318DC">
        <w:rPr>
          <w:rFonts w:asciiTheme="minorHAnsi" w:hAnsiTheme="minorHAnsi" w:cstheme="minorHAnsi"/>
          <w:b/>
          <w:color w:val="000000" w:themeColor="text1"/>
          <w:sz w:val="22"/>
          <w:szCs w:val="22"/>
        </w:rPr>
        <w:t>Green Equity Strategy</w:t>
      </w:r>
      <w:r w:rsidR="00C667F4" w:rsidRPr="002318DC">
        <w:rPr>
          <w:rFonts w:asciiTheme="minorHAnsi" w:hAnsiTheme="minorHAnsi" w:cstheme="minorHAnsi"/>
          <w:color w:val="000000" w:themeColor="text1"/>
          <w:sz w:val="22"/>
          <w:szCs w:val="22"/>
        </w:rPr>
        <w:t xml:space="preserve"> with civil society (it is expected to be finalised soon). Commitments include: </w:t>
      </w:r>
    </w:p>
    <w:p w14:paraId="55125AA2" w14:textId="77777777" w:rsidR="00C667F4" w:rsidRPr="002318DC" w:rsidRDefault="00C667F4" w:rsidP="002318DC">
      <w:pPr>
        <w:pStyle w:val="ListParagraph"/>
        <w:numPr>
          <w:ilvl w:val="0"/>
          <w:numId w:val="10"/>
        </w:numPr>
        <w:spacing w:line="276" w:lineRule="auto"/>
        <w:rPr>
          <w:rFonts w:asciiTheme="minorHAnsi" w:hAnsiTheme="minorHAnsi" w:cstheme="minorHAnsi"/>
          <w:color w:val="000000" w:themeColor="text1"/>
          <w:sz w:val="22"/>
          <w:szCs w:val="22"/>
        </w:rPr>
      </w:pPr>
      <w:r w:rsidRPr="002318DC">
        <w:rPr>
          <w:rFonts w:asciiTheme="minorHAnsi" w:hAnsiTheme="minorHAnsi" w:cstheme="minorHAnsi"/>
          <w:color w:val="000000" w:themeColor="text1"/>
          <w:sz w:val="22"/>
          <w:szCs w:val="22"/>
        </w:rPr>
        <w:t xml:space="preserve">an aim to reduce coal exposure to zero; </w:t>
      </w:r>
    </w:p>
    <w:p w14:paraId="5F333792" w14:textId="289E0C36" w:rsidR="00711B74" w:rsidRPr="002318DC" w:rsidRDefault="00C667F4" w:rsidP="002318DC">
      <w:pPr>
        <w:pStyle w:val="ListParagraph"/>
        <w:numPr>
          <w:ilvl w:val="0"/>
          <w:numId w:val="10"/>
        </w:numPr>
        <w:spacing w:line="276" w:lineRule="auto"/>
        <w:rPr>
          <w:rFonts w:asciiTheme="minorHAnsi" w:hAnsiTheme="minorHAnsi" w:cstheme="minorHAnsi"/>
          <w:color w:val="000000" w:themeColor="text1"/>
          <w:sz w:val="22"/>
          <w:szCs w:val="22"/>
        </w:rPr>
      </w:pPr>
      <w:r w:rsidRPr="002318DC">
        <w:rPr>
          <w:rFonts w:asciiTheme="minorHAnsi" w:hAnsiTheme="minorHAnsi" w:cstheme="minorHAnsi"/>
          <w:color w:val="000000" w:themeColor="text1"/>
          <w:sz w:val="22"/>
          <w:szCs w:val="22"/>
        </w:rPr>
        <w:t>not to invest in FI clients that do not have a plan to phase out investments in coal;</w:t>
      </w:r>
    </w:p>
    <w:p w14:paraId="524739AD" w14:textId="23D1BBBC" w:rsidR="00C667F4" w:rsidRDefault="00C667F4" w:rsidP="002318DC">
      <w:pPr>
        <w:pStyle w:val="ListParagraph"/>
        <w:numPr>
          <w:ilvl w:val="0"/>
          <w:numId w:val="10"/>
        </w:numPr>
        <w:spacing w:line="276" w:lineRule="auto"/>
        <w:rPr>
          <w:rFonts w:asciiTheme="minorHAnsi" w:hAnsiTheme="minorHAnsi" w:cstheme="minorHAnsi"/>
          <w:color w:val="000000" w:themeColor="text1"/>
          <w:sz w:val="22"/>
          <w:szCs w:val="22"/>
        </w:rPr>
      </w:pPr>
      <w:r w:rsidRPr="002318DC">
        <w:rPr>
          <w:rFonts w:asciiTheme="minorHAnsi" w:hAnsiTheme="minorHAnsi" w:cstheme="minorHAnsi"/>
          <w:color w:val="000000" w:themeColor="text1"/>
          <w:sz w:val="22"/>
          <w:szCs w:val="22"/>
        </w:rPr>
        <w:t>a new strategy for equity clients that includes specific targets on phasing out coal in clients’ entire portfolios.</w:t>
      </w:r>
    </w:p>
    <w:p w14:paraId="401BE4F4" w14:textId="0B67474E" w:rsidR="00D245FE" w:rsidRDefault="00D245FE" w:rsidP="00D245FE">
      <w:pPr>
        <w:spacing w:line="276" w:lineRule="auto"/>
        <w:rPr>
          <w:rFonts w:asciiTheme="minorHAnsi" w:hAnsiTheme="minorHAnsi" w:cstheme="minorHAnsi"/>
          <w:color w:val="000000" w:themeColor="text1"/>
          <w:sz w:val="22"/>
          <w:szCs w:val="22"/>
        </w:rPr>
      </w:pPr>
    </w:p>
    <w:p w14:paraId="14272EE4" w14:textId="75F7F4D1" w:rsidR="00D245FE" w:rsidRPr="00CC035D" w:rsidRDefault="00D245FE" w:rsidP="00CC035D">
      <w:pPr>
        <w:spacing w:line="276"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Other examples</w:t>
      </w:r>
    </w:p>
    <w:p w14:paraId="1A367FF0" w14:textId="6EA602DB" w:rsidR="00C667F4" w:rsidRPr="002318DC" w:rsidRDefault="00C667F4" w:rsidP="002318DC">
      <w:pPr>
        <w:spacing w:line="276" w:lineRule="auto"/>
        <w:rPr>
          <w:rFonts w:asciiTheme="minorHAnsi" w:hAnsiTheme="minorHAnsi" w:cstheme="minorHAnsi"/>
          <w:color w:val="000000" w:themeColor="text1"/>
          <w:sz w:val="22"/>
          <w:szCs w:val="22"/>
        </w:rPr>
      </w:pPr>
    </w:p>
    <w:p w14:paraId="71C88D68" w14:textId="0E1CB0C1" w:rsidR="003164D8" w:rsidRPr="002318DC" w:rsidRDefault="008E4206" w:rsidP="002318DC">
      <w:pPr>
        <w:spacing w:line="276" w:lineRule="auto"/>
        <w:rPr>
          <w:rFonts w:asciiTheme="minorHAnsi" w:hAnsiTheme="minorHAnsi" w:cstheme="minorHAnsi"/>
          <w:color w:val="000000" w:themeColor="text1"/>
          <w:sz w:val="22"/>
          <w:szCs w:val="22"/>
        </w:rPr>
      </w:pPr>
      <w:r w:rsidRPr="002318DC">
        <w:rPr>
          <w:rFonts w:asciiTheme="minorHAnsi" w:hAnsiTheme="minorHAnsi" w:cstheme="minorHAnsi"/>
          <w:color w:val="000000" w:themeColor="text1"/>
          <w:sz w:val="22"/>
          <w:szCs w:val="22"/>
        </w:rPr>
        <w:t>Other DFIs have also responded to the climate challenge by instituting policy and practice reforms. These include:</w:t>
      </w:r>
    </w:p>
    <w:p w14:paraId="1252996A" w14:textId="77777777" w:rsidR="003164D8" w:rsidRPr="002318DC" w:rsidRDefault="003164D8" w:rsidP="002318DC">
      <w:pPr>
        <w:spacing w:line="276" w:lineRule="auto"/>
        <w:rPr>
          <w:rFonts w:asciiTheme="minorHAnsi" w:hAnsiTheme="minorHAnsi" w:cstheme="minorHAnsi"/>
          <w:color w:val="000000" w:themeColor="text1"/>
          <w:sz w:val="22"/>
          <w:szCs w:val="22"/>
        </w:rPr>
      </w:pPr>
    </w:p>
    <w:p w14:paraId="322DAFE8" w14:textId="62F57B70" w:rsidR="00DE209F" w:rsidRPr="002318DC" w:rsidRDefault="00DE209F" w:rsidP="002318DC">
      <w:pPr>
        <w:shd w:val="clear" w:color="auto" w:fill="FFFFFF"/>
        <w:spacing w:line="276" w:lineRule="auto"/>
        <w:rPr>
          <w:rFonts w:asciiTheme="minorHAnsi" w:hAnsiTheme="minorHAnsi" w:cstheme="minorHAnsi"/>
          <w:sz w:val="22"/>
          <w:szCs w:val="22"/>
        </w:rPr>
      </w:pPr>
      <w:r w:rsidRPr="002318DC">
        <w:rPr>
          <w:rFonts w:asciiTheme="minorHAnsi" w:hAnsiTheme="minorHAnsi" w:cstheme="minorHAnsi"/>
          <w:b/>
          <w:color w:val="000000"/>
          <w:sz w:val="22"/>
          <w:szCs w:val="22"/>
        </w:rPr>
        <w:lastRenderedPageBreak/>
        <w:t>The UK government development finance institution (DFI) CDC’s policy</w:t>
      </w:r>
      <w:r w:rsidRPr="002318DC">
        <w:rPr>
          <w:rStyle w:val="FootnoteReference"/>
          <w:rFonts w:asciiTheme="minorHAnsi" w:hAnsiTheme="minorHAnsi" w:cstheme="minorHAnsi"/>
          <w:b/>
          <w:color w:val="000000"/>
          <w:sz w:val="22"/>
          <w:szCs w:val="22"/>
        </w:rPr>
        <w:footnoteReference w:id="11"/>
      </w:r>
      <w:r w:rsidRPr="002318DC">
        <w:rPr>
          <w:rFonts w:asciiTheme="minorHAnsi" w:hAnsiTheme="minorHAnsi" w:cstheme="minorHAnsi"/>
          <w:b/>
          <w:color w:val="000000"/>
          <w:sz w:val="22"/>
          <w:szCs w:val="22"/>
        </w:rPr>
        <w:t xml:space="preserve"> states</w:t>
      </w:r>
      <w:r w:rsidRPr="002318DC">
        <w:rPr>
          <w:rFonts w:asciiTheme="minorHAnsi" w:hAnsiTheme="minorHAnsi" w:cstheme="minorHAnsi"/>
          <w:color w:val="000000"/>
          <w:sz w:val="22"/>
          <w:szCs w:val="22"/>
        </w:rPr>
        <w:t xml:space="preserve"> “</w:t>
      </w:r>
      <w:r w:rsidRPr="002318DC">
        <w:rPr>
          <w:rFonts w:asciiTheme="minorHAnsi" w:hAnsiTheme="minorHAnsi" w:cstheme="minorHAnsi"/>
          <w:sz w:val="22"/>
          <w:szCs w:val="22"/>
        </w:rPr>
        <w:t>Where CDC invests in banks or other Financial Intermediaries (FIs) and where CDC reasonably expects a significant proportion of that FI’s funds to be used to fund coal-fired power</w:t>
      </w:r>
      <w:r w:rsidR="00D245FE">
        <w:rPr>
          <w:rFonts w:asciiTheme="minorHAnsi" w:hAnsiTheme="minorHAnsi" w:cstheme="minorHAnsi"/>
          <w:sz w:val="22"/>
          <w:szCs w:val="22"/>
        </w:rPr>
        <w:t xml:space="preserve"> </w:t>
      </w:r>
      <w:r w:rsidRPr="002318DC">
        <w:rPr>
          <w:rFonts w:asciiTheme="minorHAnsi" w:hAnsiTheme="minorHAnsi" w:cstheme="minorHAnsi"/>
          <w:sz w:val="22"/>
          <w:szCs w:val="22"/>
        </w:rPr>
        <w:t xml:space="preserve">… the general presumption will be that CDC would seek a </w:t>
      </w:r>
      <w:r w:rsidR="00D245FE">
        <w:rPr>
          <w:rFonts w:asciiTheme="minorHAnsi" w:hAnsiTheme="minorHAnsi" w:cstheme="minorHAnsi"/>
          <w:sz w:val="22"/>
          <w:szCs w:val="22"/>
        </w:rPr>
        <w:t>‘</w:t>
      </w:r>
      <w:r w:rsidRPr="002318DC">
        <w:rPr>
          <w:rFonts w:asciiTheme="minorHAnsi" w:hAnsiTheme="minorHAnsi" w:cstheme="minorHAnsi"/>
          <w:sz w:val="22"/>
          <w:szCs w:val="22"/>
        </w:rPr>
        <w:t>carve out</w:t>
      </w:r>
      <w:r w:rsidR="00D245FE">
        <w:rPr>
          <w:rFonts w:asciiTheme="minorHAnsi" w:hAnsiTheme="minorHAnsi" w:cstheme="minorHAnsi"/>
          <w:sz w:val="22"/>
          <w:szCs w:val="22"/>
        </w:rPr>
        <w:t>’</w:t>
      </w:r>
      <w:r w:rsidRPr="002318DC">
        <w:rPr>
          <w:rFonts w:asciiTheme="minorHAnsi" w:hAnsiTheme="minorHAnsi" w:cstheme="minorHAnsi"/>
          <w:sz w:val="22"/>
          <w:szCs w:val="22"/>
        </w:rPr>
        <w:t xml:space="preserve"> to exclude CDC funds being used for any new coal-fired thermal power plants.”</w:t>
      </w:r>
      <w:r w:rsidRPr="002318DC">
        <w:rPr>
          <w:rFonts w:asciiTheme="minorHAnsi" w:hAnsiTheme="minorHAnsi" w:cstheme="minorHAnsi"/>
          <w:color w:val="000000"/>
          <w:sz w:val="22"/>
          <w:szCs w:val="22"/>
        </w:rPr>
        <w:t xml:space="preserve"> </w:t>
      </w:r>
      <w:r w:rsidRPr="002318DC">
        <w:rPr>
          <w:rFonts w:asciiTheme="minorHAnsi" w:hAnsiTheme="minorHAnsi" w:cstheme="minorHAnsi"/>
          <w:sz w:val="22"/>
          <w:szCs w:val="22"/>
        </w:rPr>
        <w:t>Significant proportion “means that more than 10% of the FI’s current or predicted future loan portfolio is for coal-fired thermal power investments”</w:t>
      </w:r>
      <w:r w:rsidRPr="002318DC">
        <w:rPr>
          <w:rStyle w:val="FootnoteReference"/>
          <w:rFonts w:asciiTheme="minorHAnsi" w:hAnsiTheme="minorHAnsi" w:cstheme="minorHAnsi"/>
          <w:sz w:val="22"/>
          <w:szCs w:val="22"/>
        </w:rPr>
        <w:footnoteReference w:id="12"/>
      </w:r>
      <w:r w:rsidRPr="002318DC">
        <w:rPr>
          <w:rFonts w:asciiTheme="minorHAnsi" w:hAnsiTheme="minorHAnsi" w:cstheme="minorHAnsi"/>
          <w:sz w:val="22"/>
          <w:szCs w:val="22"/>
        </w:rPr>
        <w:t>.</w:t>
      </w:r>
    </w:p>
    <w:p w14:paraId="5847AAD7" w14:textId="77777777" w:rsidR="00DE209F" w:rsidRPr="002318DC" w:rsidRDefault="00DE209F" w:rsidP="002318DC">
      <w:pPr>
        <w:shd w:val="clear" w:color="auto" w:fill="FFFFFF"/>
        <w:spacing w:line="276" w:lineRule="auto"/>
        <w:rPr>
          <w:rFonts w:asciiTheme="minorHAnsi" w:hAnsiTheme="minorHAnsi" w:cstheme="minorHAnsi"/>
          <w:b/>
          <w:color w:val="000000"/>
          <w:sz w:val="22"/>
          <w:szCs w:val="22"/>
        </w:rPr>
      </w:pPr>
    </w:p>
    <w:p w14:paraId="1DC21ADE" w14:textId="490505B8" w:rsidR="00DE209F" w:rsidRPr="002318DC" w:rsidRDefault="00DE209F" w:rsidP="002318DC">
      <w:pPr>
        <w:shd w:val="clear" w:color="auto" w:fill="FFFFFF"/>
        <w:spacing w:line="276" w:lineRule="auto"/>
        <w:rPr>
          <w:rFonts w:asciiTheme="minorHAnsi" w:hAnsiTheme="minorHAnsi" w:cstheme="minorHAnsi"/>
          <w:sz w:val="22"/>
          <w:szCs w:val="22"/>
        </w:rPr>
      </w:pPr>
      <w:r w:rsidRPr="002318DC">
        <w:rPr>
          <w:rFonts w:asciiTheme="minorHAnsi" w:hAnsiTheme="minorHAnsi" w:cstheme="minorHAnsi"/>
          <w:b/>
          <w:color w:val="000000"/>
          <w:sz w:val="22"/>
          <w:szCs w:val="22"/>
        </w:rPr>
        <w:t>The Dutch DFI</w:t>
      </w:r>
      <w:r w:rsidR="00BD0EDD" w:rsidRPr="002318DC">
        <w:rPr>
          <w:rFonts w:asciiTheme="minorHAnsi" w:hAnsiTheme="minorHAnsi" w:cstheme="minorHAnsi"/>
          <w:b/>
          <w:color w:val="000000"/>
          <w:sz w:val="22"/>
          <w:szCs w:val="22"/>
        </w:rPr>
        <w:t>,</w:t>
      </w:r>
      <w:r w:rsidRPr="002318DC">
        <w:rPr>
          <w:rFonts w:asciiTheme="minorHAnsi" w:hAnsiTheme="minorHAnsi" w:cstheme="minorHAnsi"/>
          <w:b/>
          <w:color w:val="000000"/>
          <w:sz w:val="22"/>
          <w:szCs w:val="22"/>
        </w:rPr>
        <w:t xml:space="preserve"> FMO,</w:t>
      </w:r>
      <w:r w:rsidRPr="002318DC">
        <w:rPr>
          <w:rFonts w:asciiTheme="minorHAnsi" w:hAnsiTheme="minorHAnsi" w:cstheme="minorHAnsi"/>
          <w:color w:val="000000"/>
          <w:sz w:val="22"/>
          <w:szCs w:val="22"/>
        </w:rPr>
        <w:t xml:space="preserve"> states: “</w:t>
      </w:r>
      <w:r w:rsidRPr="002318DC">
        <w:rPr>
          <w:rFonts w:asciiTheme="minorHAnsi" w:hAnsiTheme="minorHAnsi" w:cstheme="minorHAnsi"/>
          <w:sz w:val="22"/>
          <w:szCs w:val="22"/>
        </w:rPr>
        <w:t>FMO can provide loans to banks and non-bank financial institutions that provide loans to coal-fired power projects, coal mines and dedicated thermal coal transport/infrastructure, to a maximum threshold of 20% of the Financial Intermediary’s total balance sheet or total investment portfolio”</w:t>
      </w:r>
      <w:r w:rsidRPr="002318DC">
        <w:rPr>
          <w:rStyle w:val="FootnoteReference"/>
          <w:rFonts w:asciiTheme="minorHAnsi" w:hAnsiTheme="minorHAnsi" w:cstheme="minorHAnsi"/>
          <w:sz w:val="22"/>
          <w:szCs w:val="22"/>
        </w:rPr>
        <w:footnoteReference w:id="13"/>
      </w:r>
      <w:r w:rsidRPr="002318DC">
        <w:rPr>
          <w:rFonts w:asciiTheme="minorHAnsi" w:hAnsiTheme="minorHAnsi" w:cstheme="minorHAnsi"/>
          <w:sz w:val="22"/>
          <w:szCs w:val="22"/>
        </w:rPr>
        <w:t>.</w:t>
      </w:r>
    </w:p>
    <w:p w14:paraId="60B92FBF" w14:textId="3B698C4D" w:rsidR="008E4206" w:rsidRPr="002318DC" w:rsidRDefault="008E4206" w:rsidP="002318DC">
      <w:pPr>
        <w:shd w:val="clear" w:color="auto" w:fill="FFFFFF"/>
        <w:spacing w:line="276" w:lineRule="auto"/>
        <w:rPr>
          <w:rFonts w:asciiTheme="minorHAnsi" w:hAnsiTheme="minorHAnsi" w:cstheme="minorHAnsi"/>
          <w:sz w:val="22"/>
          <w:szCs w:val="22"/>
        </w:rPr>
      </w:pPr>
    </w:p>
    <w:p w14:paraId="32852778" w14:textId="2371B9B2" w:rsidR="00D245FE" w:rsidRDefault="00D245FE" w:rsidP="002318DC">
      <w:pPr>
        <w:shd w:val="clear" w:color="auto" w:fill="FFFFFF"/>
        <w:spacing w:line="276"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RECOMMENDATIONS:</w:t>
      </w:r>
    </w:p>
    <w:p w14:paraId="5B383E9D" w14:textId="23B59E46" w:rsidR="008E4206" w:rsidRPr="002318DC" w:rsidRDefault="008E4206" w:rsidP="002318DC">
      <w:pPr>
        <w:shd w:val="clear" w:color="auto" w:fill="FFFFFF"/>
        <w:spacing w:line="276" w:lineRule="auto"/>
        <w:rPr>
          <w:rFonts w:asciiTheme="minorHAnsi" w:hAnsiTheme="minorHAnsi" w:cstheme="minorHAnsi"/>
          <w:color w:val="000000"/>
          <w:sz w:val="22"/>
          <w:szCs w:val="22"/>
        </w:rPr>
      </w:pPr>
      <w:r w:rsidRPr="002318DC">
        <w:rPr>
          <w:rFonts w:asciiTheme="minorHAnsi" w:hAnsiTheme="minorHAnsi" w:cstheme="minorHAnsi"/>
          <w:color w:val="000000" w:themeColor="text1"/>
          <w:sz w:val="22"/>
          <w:szCs w:val="22"/>
        </w:rPr>
        <w:t>In this rapidly-developing space, the AIIB has the opportunity to join the leaders in ensuring the transformation necessary to avert catastrophic climate change.</w:t>
      </w:r>
      <w:r w:rsidR="00C6365A" w:rsidRPr="002318DC">
        <w:rPr>
          <w:rFonts w:asciiTheme="minorHAnsi" w:hAnsiTheme="minorHAnsi" w:cstheme="minorHAnsi"/>
          <w:color w:val="000000" w:themeColor="text1"/>
          <w:sz w:val="22"/>
          <w:szCs w:val="22"/>
        </w:rPr>
        <w:t xml:space="preserve"> To do so, the Board </w:t>
      </w:r>
      <w:r w:rsidR="00D245FE">
        <w:rPr>
          <w:rFonts w:asciiTheme="minorHAnsi" w:hAnsiTheme="minorHAnsi" w:cstheme="minorHAnsi"/>
          <w:color w:val="000000" w:themeColor="text1"/>
          <w:sz w:val="22"/>
          <w:szCs w:val="22"/>
        </w:rPr>
        <w:t>sh</w:t>
      </w:r>
      <w:r w:rsidR="00C6365A" w:rsidRPr="002318DC">
        <w:rPr>
          <w:rFonts w:asciiTheme="minorHAnsi" w:hAnsiTheme="minorHAnsi" w:cstheme="minorHAnsi"/>
          <w:color w:val="000000" w:themeColor="text1"/>
          <w:sz w:val="22"/>
          <w:szCs w:val="22"/>
        </w:rPr>
        <w:t>ould encourage the AIIB to</w:t>
      </w:r>
      <w:r w:rsidR="00D245FE">
        <w:rPr>
          <w:rFonts w:asciiTheme="minorHAnsi" w:hAnsiTheme="minorHAnsi" w:cstheme="minorHAnsi"/>
          <w:color w:val="000000" w:themeColor="text1"/>
          <w:sz w:val="22"/>
          <w:szCs w:val="22"/>
        </w:rPr>
        <w:t>:</w:t>
      </w:r>
      <w:r w:rsidR="00C6365A" w:rsidRPr="002318DC">
        <w:rPr>
          <w:rFonts w:asciiTheme="minorHAnsi" w:hAnsiTheme="minorHAnsi" w:cstheme="minorHAnsi"/>
          <w:color w:val="000000" w:themeColor="text1"/>
          <w:sz w:val="22"/>
          <w:szCs w:val="22"/>
        </w:rPr>
        <w:t xml:space="preserve"> </w:t>
      </w:r>
    </w:p>
    <w:p w14:paraId="0BCF5449" w14:textId="124EB7AA" w:rsidR="00C6365A" w:rsidRPr="002318DC" w:rsidRDefault="00C6365A" w:rsidP="002318DC">
      <w:pPr>
        <w:pStyle w:val="ListParagraph"/>
        <w:numPr>
          <w:ilvl w:val="0"/>
          <w:numId w:val="2"/>
        </w:numPr>
        <w:spacing w:line="276" w:lineRule="auto"/>
        <w:rPr>
          <w:rStyle w:val="None"/>
          <w:rFonts w:asciiTheme="minorHAnsi" w:hAnsiTheme="minorHAnsi" w:cstheme="minorHAnsi"/>
          <w:color w:val="000000" w:themeColor="text1"/>
          <w:sz w:val="22"/>
          <w:szCs w:val="22"/>
        </w:rPr>
      </w:pPr>
      <w:r w:rsidRPr="002318DC">
        <w:rPr>
          <w:rStyle w:val="None"/>
          <w:rFonts w:asciiTheme="minorHAnsi" w:hAnsiTheme="minorHAnsi" w:cstheme="minorHAnsi"/>
          <w:sz w:val="22"/>
          <w:szCs w:val="22"/>
          <w:u w:color="000000"/>
          <w:lang w:val="en-US"/>
        </w:rPr>
        <w:t xml:space="preserve">Adopt a requirement for all FI clients to </w:t>
      </w:r>
      <w:r w:rsidRPr="002318DC">
        <w:rPr>
          <w:rStyle w:val="None"/>
          <w:rFonts w:asciiTheme="minorHAnsi" w:hAnsiTheme="minorHAnsi" w:cstheme="minorHAnsi"/>
          <w:b/>
          <w:bCs/>
          <w:sz w:val="22"/>
          <w:szCs w:val="22"/>
          <w:u w:color="000000"/>
          <w:lang w:val="en-US"/>
        </w:rPr>
        <w:t>track and disclose coal and other fossil fuel investments</w:t>
      </w:r>
      <w:r w:rsidR="00D245FE">
        <w:rPr>
          <w:rStyle w:val="None"/>
          <w:rFonts w:asciiTheme="minorHAnsi" w:hAnsiTheme="minorHAnsi" w:cstheme="minorHAnsi"/>
          <w:bCs/>
          <w:sz w:val="22"/>
          <w:szCs w:val="22"/>
          <w:u w:color="000000"/>
          <w:lang w:val="en-US"/>
        </w:rPr>
        <w:t>;</w:t>
      </w:r>
    </w:p>
    <w:p w14:paraId="2BE11C9C" w14:textId="0985B69B" w:rsidR="00C6365A" w:rsidRPr="002318DC" w:rsidRDefault="00C6365A" w:rsidP="002318DC">
      <w:pPr>
        <w:pStyle w:val="BodyA"/>
        <w:numPr>
          <w:ilvl w:val="0"/>
          <w:numId w:val="2"/>
        </w:numPr>
        <w:spacing w:after="80" w:line="276" w:lineRule="auto"/>
        <w:rPr>
          <w:rFonts w:asciiTheme="minorHAnsi" w:hAnsiTheme="minorHAnsi" w:cstheme="minorHAnsi"/>
        </w:rPr>
      </w:pPr>
      <w:r w:rsidRPr="002318DC">
        <w:rPr>
          <w:rStyle w:val="None"/>
          <w:rFonts w:asciiTheme="minorHAnsi" w:hAnsiTheme="minorHAnsi" w:cstheme="minorHAnsi"/>
        </w:rPr>
        <w:t xml:space="preserve">Ensure that none of its investments results in an </w:t>
      </w:r>
      <w:r w:rsidRPr="002318DC">
        <w:rPr>
          <w:rStyle w:val="None"/>
          <w:rFonts w:asciiTheme="minorHAnsi" w:hAnsiTheme="minorHAnsi" w:cstheme="minorHAnsi"/>
          <w:b/>
        </w:rPr>
        <w:t>increase in coal use</w:t>
      </w:r>
      <w:r w:rsidRPr="002318DC">
        <w:rPr>
          <w:rStyle w:val="None"/>
          <w:rFonts w:asciiTheme="minorHAnsi" w:hAnsiTheme="minorHAnsi" w:cstheme="minorHAnsi"/>
        </w:rPr>
        <w:t xml:space="preserve">: whether for power generation or industrial uses, </w:t>
      </w:r>
      <w:r w:rsidR="00D245FE">
        <w:rPr>
          <w:rStyle w:val="None"/>
          <w:rFonts w:asciiTheme="minorHAnsi" w:hAnsiTheme="minorHAnsi" w:cstheme="minorHAnsi"/>
        </w:rPr>
        <w:t>or for</w:t>
      </w:r>
      <w:r w:rsidRPr="002318DC">
        <w:rPr>
          <w:rStyle w:val="None"/>
          <w:rFonts w:asciiTheme="minorHAnsi" w:hAnsiTheme="minorHAnsi" w:cstheme="minorHAnsi"/>
        </w:rPr>
        <w:t xml:space="preserve"> associated facilities such as transmission lines and rail- ways or ports primarily meant for the transportation of coal;</w:t>
      </w:r>
    </w:p>
    <w:p w14:paraId="761346F7" w14:textId="4FC458E0" w:rsidR="00C6365A" w:rsidRPr="002318DC" w:rsidRDefault="00C6365A" w:rsidP="002318DC">
      <w:pPr>
        <w:pStyle w:val="BodyA"/>
        <w:numPr>
          <w:ilvl w:val="0"/>
          <w:numId w:val="2"/>
        </w:numPr>
        <w:spacing w:after="80" w:line="276" w:lineRule="auto"/>
        <w:rPr>
          <w:rFonts w:asciiTheme="minorHAnsi" w:hAnsiTheme="minorHAnsi" w:cstheme="minorHAnsi"/>
        </w:rPr>
      </w:pPr>
      <w:r w:rsidRPr="002318DC">
        <w:rPr>
          <w:rStyle w:val="None"/>
          <w:rFonts w:asciiTheme="minorHAnsi" w:hAnsiTheme="minorHAnsi" w:cstheme="minorHAnsi"/>
          <w:b/>
        </w:rPr>
        <w:t>Exclude upstream oil and gas</w:t>
      </w:r>
      <w:r w:rsidRPr="002318DC">
        <w:rPr>
          <w:rStyle w:val="None"/>
          <w:rFonts w:asciiTheme="minorHAnsi" w:hAnsiTheme="minorHAnsi" w:cstheme="minorHAnsi"/>
        </w:rPr>
        <w:t>;</w:t>
      </w:r>
    </w:p>
    <w:p w14:paraId="5C9657B5" w14:textId="77777777" w:rsidR="00C6365A" w:rsidRPr="002318DC" w:rsidRDefault="00C6365A" w:rsidP="002318DC">
      <w:pPr>
        <w:pStyle w:val="BodyA"/>
        <w:numPr>
          <w:ilvl w:val="0"/>
          <w:numId w:val="2"/>
        </w:numPr>
        <w:spacing w:after="80" w:line="276" w:lineRule="auto"/>
        <w:rPr>
          <w:rFonts w:asciiTheme="minorHAnsi" w:hAnsiTheme="minorHAnsi" w:cstheme="minorHAnsi"/>
        </w:rPr>
      </w:pPr>
      <w:r w:rsidRPr="002318DC">
        <w:rPr>
          <w:rStyle w:val="None"/>
          <w:rFonts w:asciiTheme="minorHAnsi" w:hAnsiTheme="minorHAnsi" w:cstheme="minorHAnsi"/>
        </w:rPr>
        <w:t xml:space="preserve">Does not invest in clients with more than </w:t>
      </w:r>
      <w:r w:rsidRPr="002318DC">
        <w:rPr>
          <w:rStyle w:val="None"/>
          <w:rFonts w:asciiTheme="minorHAnsi" w:hAnsiTheme="minorHAnsi" w:cstheme="minorHAnsi"/>
          <w:b/>
        </w:rPr>
        <w:t>5% portfolio exposure to coal</w:t>
      </w:r>
      <w:r w:rsidRPr="002318DC">
        <w:rPr>
          <w:rStyle w:val="None"/>
          <w:rFonts w:asciiTheme="minorHAnsi" w:hAnsiTheme="minorHAnsi" w:cstheme="minorHAnsi"/>
        </w:rPr>
        <w:t>;</w:t>
      </w:r>
    </w:p>
    <w:p w14:paraId="0EAF9CD7" w14:textId="3A926862" w:rsidR="00C6365A" w:rsidRPr="002318DC" w:rsidRDefault="00C6365A" w:rsidP="002318DC">
      <w:pPr>
        <w:pStyle w:val="BodyA"/>
        <w:numPr>
          <w:ilvl w:val="0"/>
          <w:numId w:val="2"/>
        </w:numPr>
        <w:spacing w:after="80" w:line="276" w:lineRule="auto"/>
        <w:rPr>
          <w:rFonts w:asciiTheme="minorHAnsi" w:hAnsiTheme="minorHAnsi" w:cstheme="minorHAnsi"/>
        </w:rPr>
      </w:pPr>
      <w:r w:rsidRPr="002318DC">
        <w:rPr>
          <w:rStyle w:val="None"/>
          <w:rFonts w:asciiTheme="minorHAnsi" w:hAnsiTheme="minorHAnsi" w:cstheme="minorHAnsi"/>
        </w:rPr>
        <w:t xml:space="preserve">Invest only in FI clients who commit to develop a </w:t>
      </w:r>
      <w:r w:rsidRPr="002318DC">
        <w:rPr>
          <w:rStyle w:val="None"/>
          <w:rFonts w:asciiTheme="minorHAnsi" w:hAnsiTheme="minorHAnsi" w:cstheme="minorHAnsi"/>
          <w:b/>
        </w:rPr>
        <w:t xml:space="preserve">portfolio </w:t>
      </w:r>
      <w:proofErr w:type="spellStart"/>
      <w:r w:rsidRPr="002318DC">
        <w:rPr>
          <w:rStyle w:val="None"/>
          <w:rFonts w:asciiTheme="minorHAnsi" w:hAnsiTheme="minorHAnsi" w:cstheme="minorHAnsi"/>
          <w:b/>
        </w:rPr>
        <w:t>decarbonisation</w:t>
      </w:r>
      <w:proofErr w:type="spellEnd"/>
      <w:r w:rsidRPr="002318DC">
        <w:rPr>
          <w:rStyle w:val="None"/>
          <w:rFonts w:asciiTheme="minorHAnsi" w:hAnsiTheme="minorHAnsi" w:cstheme="minorHAnsi"/>
          <w:b/>
        </w:rPr>
        <w:t xml:space="preserve"> plan</w:t>
      </w:r>
      <w:r w:rsidRPr="002318DC">
        <w:rPr>
          <w:rStyle w:val="None"/>
          <w:rFonts w:asciiTheme="minorHAnsi" w:hAnsiTheme="minorHAnsi" w:cstheme="minorHAnsi"/>
        </w:rPr>
        <w:t xml:space="preserve"> to achieve emissions reductions in line with targets set under the Paris Climate Agreement.</w:t>
      </w:r>
    </w:p>
    <w:p w14:paraId="26184301" w14:textId="77777777" w:rsidR="00C6365A" w:rsidRPr="002318DC" w:rsidRDefault="00C6365A" w:rsidP="002318DC">
      <w:pPr>
        <w:pStyle w:val="ListParagraph"/>
        <w:shd w:val="clear" w:color="auto" w:fill="FFFFFF"/>
        <w:spacing w:line="276" w:lineRule="auto"/>
        <w:rPr>
          <w:rFonts w:asciiTheme="minorHAnsi" w:hAnsiTheme="minorHAnsi" w:cstheme="minorHAnsi"/>
          <w:color w:val="000000"/>
          <w:sz w:val="22"/>
          <w:szCs w:val="22"/>
        </w:rPr>
      </w:pPr>
    </w:p>
    <w:p w14:paraId="231251D5" w14:textId="77777777" w:rsidR="00DE209F" w:rsidRPr="002318DC" w:rsidRDefault="00DE209F" w:rsidP="002318DC">
      <w:pPr>
        <w:shd w:val="clear" w:color="auto" w:fill="FFFFFF"/>
        <w:spacing w:line="276" w:lineRule="auto"/>
        <w:rPr>
          <w:rFonts w:asciiTheme="minorHAnsi" w:hAnsiTheme="minorHAnsi" w:cstheme="minorHAnsi"/>
          <w:b/>
          <w:sz w:val="22"/>
          <w:szCs w:val="22"/>
        </w:rPr>
      </w:pPr>
    </w:p>
    <w:p w14:paraId="505D9BC5" w14:textId="77777777" w:rsidR="00DE209F" w:rsidRPr="00DE209F" w:rsidRDefault="00DE209F" w:rsidP="00DE209F">
      <w:pPr>
        <w:spacing w:line="276" w:lineRule="auto"/>
        <w:rPr>
          <w:rFonts w:asciiTheme="minorHAnsi" w:hAnsiTheme="minorHAnsi" w:cstheme="minorHAnsi"/>
          <w:b/>
          <w:color w:val="000000" w:themeColor="text1"/>
          <w:sz w:val="22"/>
          <w:szCs w:val="22"/>
        </w:rPr>
      </w:pPr>
    </w:p>
    <w:sectPr w:rsidR="00DE209F" w:rsidRPr="00DE209F" w:rsidSect="004A25B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A4C1E" w14:textId="77777777" w:rsidR="000D5EF6" w:rsidRDefault="000D5EF6" w:rsidP="001C25C3">
      <w:r>
        <w:separator/>
      </w:r>
    </w:p>
  </w:endnote>
  <w:endnote w:type="continuationSeparator" w:id="0">
    <w:p w14:paraId="19875C82" w14:textId="77777777" w:rsidR="000D5EF6" w:rsidRDefault="000D5EF6" w:rsidP="001C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mb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40C94" w14:textId="77777777" w:rsidR="000D5EF6" w:rsidRDefault="000D5EF6" w:rsidP="001C25C3">
      <w:r>
        <w:separator/>
      </w:r>
    </w:p>
  </w:footnote>
  <w:footnote w:type="continuationSeparator" w:id="0">
    <w:p w14:paraId="222CFED8" w14:textId="77777777" w:rsidR="000D5EF6" w:rsidRDefault="000D5EF6" w:rsidP="001C25C3">
      <w:r>
        <w:continuationSeparator/>
      </w:r>
    </w:p>
  </w:footnote>
  <w:footnote w:id="1">
    <w:p w14:paraId="2E458AF0" w14:textId="513C0716" w:rsidR="009E4768" w:rsidRPr="00306E73" w:rsidRDefault="009E4768">
      <w:pPr>
        <w:pStyle w:val="FootnoteText"/>
        <w:rPr>
          <w:sz w:val="16"/>
          <w:szCs w:val="16"/>
        </w:rPr>
      </w:pPr>
      <w:r w:rsidRPr="00306E73">
        <w:rPr>
          <w:rStyle w:val="FootnoteReference"/>
          <w:sz w:val="16"/>
          <w:szCs w:val="16"/>
        </w:rPr>
        <w:footnoteRef/>
      </w:r>
      <w:r w:rsidRPr="00306E73">
        <w:rPr>
          <w:sz w:val="16"/>
          <w:szCs w:val="16"/>
        </w:rPr>
        <w:t xml:space="preserve"> Green Climate Fund GCF/B.21/34 p 71 Annex XV List of conditions and recommendations.</w:t>
      </w:r>
    </w:p>
  </w:footnote>
  <w:footnote w:id="2">
    <w:p w14:paraId="333F6BEB" w14:textId="7573B438" w:rsidR="007F2A34" w:rsidRPr="00306E73" w:rsidRDefault="007F2A34">
      <w:pPr>
        <w:pStyle w:val="FootnoteText"/>
        <w:rPr>
          <w:sz w:val="16"/>
          <w:szCs w:val="16"/>
        </w:rPr>
      </w:pPr>
      <w:r w:rsidRPr="00306E73">
        <w:rPr>
          <w:rStyle w:val="FootnoteReference"/>
          <w:sz w:val="16"/>
          <w:szCs w:val="16"/>
        </w:rPr>
        <w:footnoteRef/>
      </w:r>
      <w:r w:rsidRPr="00306E73">
        <w:rPr>
          <w:sz w:val="16"/>
          <w:szCs w:val="16"/>
        </w:rPr>
        <w:t xml:space="preserve"> Green Climate Fund (2018) Summary of Appeal no. IDP/2018/C001</w:t>
      </w:r>
      <w:r w:rsidR="001B19C2" w:rsidRPr="00306E73">
        <w:rPr>
          <w:sz w:val="16"/>
          <w:szCs w:val="16"/>
        </w:rPr>
        <w:t>, 28 November 2018.</w:t>
      </w:r>
    </w:p>
  </w:footnote>
  <w:footnote w:id="3">
    <w:p w14:paraId="7EEF1D8E" w14:textId="5A931B05" w:rsidR="00751DF3" w:rsidRPr="00306E73" w:rsidRDefault="00751DF3">
      <w:pPr>
        <w:pStyle w:val="FootnoteText"/>
        <w:rPr>
          <w:sz w:val="16"/>
          <w:szCs w:val="16"/>
        </w:rPr>
      </w:pPr>
      <w:r w:rsidRPr="00306E73">
        <w:rPr>
          <w:rStyle w:val="FootnoteReference"/>
          <w:sz w:val="16"/>
          <w:szCs w:val="16"/>
        </w:rPr>
        <w:footnoteRef/>
      </w:r>
      <w:r w:rsidRPr="00306E73">
        <w:rPr>
          <w:sz w:val="16"/>
          <w:szCs w:val="16"/>
        </w:rPr>
        <w:t xml:space="preserve"> Oxfam (2018) Open Books See </w:t>
      </w:r>
      <w:hyperlink r:id="rId1" w:history="1">
        <w:r w:rsidRPr="00306E73">
          <w:rPr>
            <w:rStyle w:val="Hyperlink"/>
            <w:sz w:val="16"/>
            <w:szCs w:val="16"/>
          </w:rPr>
          <w:t>https://oxfamilibrary.openrepository.com/bitstream/handle/10546/620559/bp-financial-institutions-disclosure-161018-en.pdf</w:t>
        </w:r>
      </w:hyperlink>
    </w:p>
  </w:footnote>
  <w:footnote w:id="4">
    <w:p w14:paraId="364DCE17" w14:textId="77777777" w:rsidR="001C25C3" w:rsidRPr="00785C68" w:rsidRDefault="001C25C3">
      <w:pPr>
        <w:pStyle w:val="FootnoteText"/>
        <w:rPr>
          <w:sz w:val="16"/>
          <w:szCs w:val="16"/>
        </w:rPr>
      </w:pPr>
      <w:r w:rsidRPr="00306E73">
        <w:rPr>
          <w:rStyle w:val="FootnoteReference"/>
          <w:sz w:val="16"/>
          <w:szCs w:val="16"/>
        </w:rPr>
        <w:footnoteRef/>
      </w:r>
      <w:r w:rsidRPr="00306E73">
        <w:rPr>
          <w:sz w:val="16"/>
          <w:szCs w:val="16"/>
        </w:rPr>
        <w:t xml:space="preserve"> See for example: </w:t>
      </w:r>
      <w:r w:rsidRPr="00306E73">
        <w:rPr>
          <w:sz w:val="16"/>
          <w:szCs w:val="16"/>
        </w:rPr>
        <w:t>AgriVie case in Uganda (</w:t>
      </w:r>
      <w:hyperlink r:id="rId2" w:history="1">
        <w:r w:rsidRPr="00306E73">
          <w:rPr>
            <w:rStyle w:val="Hyperlink"/>
            <w:sz w:val="16"/>
            <w:szCs w:val="16"/>
          </w:rPr>
          <w:t>http://www.cao-ombudsman.org/cases/case_detail.aspx?id=180</w:t>
        </w:r>
      </w:hyperlink>
      <w:r w:rsidRPr="00306E73">
        <w:rPr>
          <w:sz w:val="16"/>
          <w:szCs w:val="16"/>
        </w:rPr>
        <w:t>); GMR Kamalanga case in India (</w:t>
      </w:r>
      <w:hyperlink r:id="rId3" w:history="1">
        <w:r w:rsidRPr="00306E73">
          <w:rPr>
            <w:rStyle w:val="Hyperlink"/>
            <w:sz w:val="16"/>
            <w:szCs w:val="16"/>
          </w:rPr>
          <w:t>http://www.cao-ombudsman.org/cases/case_detail.aspx?id=165</w:t>
        </w:r>
      </w:hyperlink>
      <w:r w:rsidRPr="00306E73">
        <w:rPr>
          <w:sz w:val="16"/>
          <w:szCs w:val="16"/>
        </w:rPr>
        <w:t>); RCBC bank in the Philippines (</w:t>
      </w:r>
      <w:hyperlink r:id="rId4" w:history="1">
        <w:r w:rsidRPr="00306E73">
          <w:rPr>
            <w:rStyle w:val="Hyperlink"/>
            <w:sz w:val="16"/>
            <w:szCs w:val="16"/>
          </w:rPr>
          <w:t>http://www.cao-ombudsman.org/cases/case_detail.aspx?id=1266</w:t>
        </w:r>
      </w:hyperlink>
      <w:r w:rsidRPr="00785C68">
        <w:rPr>
          <w:sz w:val="16"/>
          <w:szCs w:val="16"/>
        </w:rPr>
        <w:t>); Ficohsa Honduras (</w:t>
      </w:r>
      <w:hyperlink r:id="rId5" w:history="1">
        <w:r w:rsidRPr="00785C68">
          <w:rPr>
            <w:rStyle w:val="Hyperlink"/>
            <w:sz w:val="16"/>
            <w:szCs w:val="16"/>
          </w:rPr>
          <w:t>http://www.cao-ombudsman.org/cases/case_detail.aspx?id=209</w:t>
        </w:r>
      </w:hyperlink>
      <w:r w:rsidRPr="00785C68">
        <w:rPr>
          <w:sz w:val="16"/>
          <w:szCs w:val="16"/>
        </w:rPr>
        <w:t>) and Dragon Capital Cambodia (</w:t>
      </w:r>
      <w:hyperlink r:id="rId6" w:history="1">
        <w:r w:rsidRPr="00785C68">
          <w:rPr>
            <w:rStyle w:val="Hyperlink"/>
            <w:sz w:val="16"/>
            <w:szCs w:val="16"/>
          </w:rPr>
          <w:t>http://www.cao-ombudsman.org/cases/case_detail.aspx?id=212</w:t>
        </w:r>
      </w:hyperlink>
      <w:r w:rsidRPr="00785C68">
        <w:rPr>
          <w:sz w:val="16"/>
          <w:szCs w:val="16"/>
        </w:rPr>
        <w:t xml:space="preserve">). </w:t>
      </w:r>
    </w:p>
  </w:footnote>
  <w:footnote w:id="5">
    <w:p w14:paraId="61E82BC9" w14:textId="77777777" w:rsidR="00F709F4" w:rsidRPr="00785C68" w:rsidRDefault="00F709F4">
      <w:pPr>
        <w:pStyle w:val="FootnoteText"/>
        <w:rPr>
          <w:sz w:val="16"/>
          <w:szCs w:val="16"/>
        </w:rPr>
      </w:pPr>
      <w:r w:rsidRPr="00785C68">
        <w:rPr>
          <w:rStyle w:val="FootnoteReference"/>
          <w:sz w:val="16"/>
          <w:szCs w:val="16"/>
        </w:rPr>
        <w:footnoteRef/>
      </w:r>
      <w:r w:rsidRPr="00785C68">
        <w:rPr>
          <w:sz w:val="16"/>
          <w:szCs w:val="16"/>
        </w:rPr>
        <w:t xml:space="preserve"> IFC (2015) IFC’s Work with Financial Intermediaries</w:t>
      </w:r>
      <w:r w:rsidR="00923B14" w:rsidRPr="00785C68">
        <w:rPr>
          <w:sz w:val="16"/>
          <w:szCs w:val="16"/>
        </w:rPr>
        <w:t>;</w:t>
      </w:r>
      <w:r w:rsidRPr="00785C68">
        <w:rPr>
          <w:sz w:val="16"/>
          <w:szCs w:val="16"/>
        </w:rPr>
        <w:t xml:space="preserve"> see</w:t>
      </w:r>
      <w:r w:rsidR="00923B14" w:rsidRPr="00785C68">
        <w:rPr>
          <w:sz w:val="16"/>
          <w:szCs w:val="16"/>
        </w:rPr>
        <w:t xml:space="preserve">: </w:t>
      </w:r>
      <w:hyperlink r:id="rId7" w:history="1">
        <w:r w:rsidR="00D31F9C" w:rsidRPr="00785C68">
          <w:rPr>
            <w:rStyle w:val="Hyperlink"/>
            <w:sz w:val="16"/>
            <w:szCs w:val="16"/>
          </w:rPr>
          <w:t>https://www.ifc.org/wps/wcm/connect/1c3013804a260251bf70bfe54d141794/IFC_FI_FactSheet_April2015.pdf?MOD=AJPERES</w:t>
        </w:r>
      </w:hyperlink>
      <w:r w:rsidRPr="00785C68">
        <w:rPr>
          <w:sz w:val="16"/>
          <w:szCs w:val="16"/>
        </w:rPr>
        <w:t xml:space="preserve"> </w:t>
      </w:r>
    </w:p>
  </w:footnote>
  <w:footnote w:id="6">
    <w:p w14:paraId="22E49949" w14:textId="77777777" w:rsidR="00D31F9C" w:rsidRPr="00785C68" w:rsidRDefault="00D31F9C">
      <w:pPr>
        <w:pStyle w:val="FootnoteText"/>
        <w:rPr>
          <w:sz w:val="16"/>
          <w:szCs w:val="16"/>
        </w:rPr>
      </w:pPr>
      <w:r w:rsidRPr="00785C68">
        <w:rPr>
          <w:rStyle w:val="FootnoteReference"/>
          <w:sz w:val="16"/>
          <w:szCs w:val="16"/>
        </w:rPr>
        <w:footnoteRef/>
      </w:r>
      <w:r w:rsidRPr="00785C68">
        <w:rPr>
          <w:sz w:val="16"/>
          <w:szCs w:val="16"/>
        </w:rPr>
        <w:t xml:space="preserve"> IFC (2017) Sustainable Practices for Private Equity Funds Business see: </w:t>
      </w:r>
      <w:hyperlink r:id="rId8" w:history="1">
        <w:r w:rsidRPr="00785C68">
          <w:rPr>
            <w:rStyle w:val="Hyperlink"/>
            <w:sz w:val="16"/>
            <w:szCs w:val="16"/>
          </w:rPr>
          <w:t>https://medium.com/@IFC_org/sustainable-practices-for-private-equity-funds-business-5d841850f7c5</w:t>
        </w:r>
      </w:hyperlink>
      <w:r w:rsidRPr="00785C68">
        <w:rPr>
          <w:sz w:val="16"/>
          <w:szCs w:val="16"/>
        </w:rPr>
        <w:t xml:space="preserve"> </w:t>
      </w:r>
    </w:p>
  </w:footnote>
  <w:footnote w:id="7">
    <w:p w14:paraId="36D94223" w14:textId="77777777" w:rsidR="00980381" w:rsidRDefault="00980381">
      <w:pPr>
        <w:pStyle w:val="FootnoteText"/>
      </w:pPr>
      <w:r w:rsidRPr="00785C68">
        <w:rPr>
          <w:rStyle w:val="FootnoteReference"/>
          <w:sz w:val="16"/>
          <w:szCs w:val="16"/>
        </w:rPr>
        <w:footnoteRef/>
      </w:r>
      <w:r w:rsidRPr="00785C68">
        <w:rPr>
          <w:sz w:val="16"/>
          <w:szCs w:val="16"/>
        </w:rPr>
        <w:t xml:space="preserve"> Le </w:t>
      </w:r>
      <w:r w:rsidRPr="00785C68">
        <w:rPr>
          <w:sz w:val="16"/>
          <w:szCs w:val="16"/>
        </w:rPr>
        <w:t xml:space="preserve">Houérou, Philippe (2018) in Devex see: </w:t>
      </w:r>
      <w:hyperlink r:id="rId9" w:history="1">
        <w:r w:rsidRPr="00785C68">
          <w:rPr>
            <w:rStyle w:val="Hyperlink"/>
            <w:sz w:val="16"/>
            <w:szCs w:val="16"/>
          </w:rPr>
          <w:t>https://www.devex.com/news/opinion-a-new-ifc-vision-for-greening-banks-in-emerging-markets-93599</w:t>
        </w:r>
      </w:hyperlink>
      <w:r w:rsidRPr="00980381">
        <w:rPr>
          <w:sz w:val="16"/>
          <w:szCs w:val="16"/>
        </w:rPr>
        <w:t xml:space="preserve"> </w:t>
      </w:r>
    </w:p>
  </w:footnote>
  <w:footnote w:id="8">
    <w:p w14:paraId="139C6877" w14:textId="77777777" w:rsidR="003A3706" w:rsidRPr="00C71E3F" w:rsidRDefault="003A3706" w:rsidP="003A3706">
      <w:pPr>
        <w:pStyle w:val="FootnoteText"/>
        <w:rPr>
          <w:sz w:val="16"/>
          <w:szCs w:val="16"/>
        </w:rPr>
      </w:pPr>
      <w:r w:rsidRPr="00C71E3F">
        <w:rPr>
          <w:rStyle w:val="FootnoteReference"/>
          <w:sz w:val="16"/>
          <w:szCs w:val="16"/>
        </w:rPr>
        <w:footnoteRef/>
      </w:r>
      <w:r w:rsidRPr="00C71E3F">
        <w:rPr>
          <w:sz w:val="16"/>
          <w:szCs w:val="16"/>
        </w:rPr>
        <w:t xml:space="preserve"> </w:t>
      </w:r>
      <w:hyperlink r:id="rId10" w:history="1">
        <w:r w:rsidRPr="00C71E3F">
          <w:rPr>
            <w:rStyle w:val="Hyperlink"/>
            <w:sz w:val="16"/>
            <w:szCs w:val="16"/>
          </w:rPr>
          <w:t>https://climateanalytics.org/briefings/coal-phase-out/</w:t>
        </w:r>
      </w:hyperlink>
      <w:r w:rsidRPr="00C71E3F">
        <w:rPr>
          <w:sz w:val="16"/>
          <w:szCs w:val="16"/>
        </w:rPr>
        <w:t xml:space="preserve"> </w:t>
      </w:r>
    </w:p>
  </w:footnote>
  <w:footnote w:id="9">
    <w:p w14:paraId="23AB72B3" w14:textId="0E7CF501" w:rsidR="003A3706" w:rsidRPr="00C71E3F" w:rsidRDefault="003A3706">
      <w:pPr>
        <w:pStyle w:val="FootnoteText"/>
        <w:rPr>
          <w:sz w:val="16"/>
          <w:szCs w:val="16"/>
        </w:rPr>
      </w:pPr>
      <w:r w:rsidRPr="00C71E3F">
        <w:rPr>
          <w:rStyle w:val="FootnoteReference"/>
          <w:sz w:val="16"/>
          <w:szCs w:val="16"/>
        </w:rPr>
        <w:footnoteRef/>
      </w:r>
      <w:r w:rsidRPr="00C71E3F">
        <w:rPr>
          <w:sz w:val="16"/>
          <w:szCs w:val="16"/>
        </w:rPr>
        <w:t xml:space="preserve"> E3G and Institute for Energy Economics and Financial Analysis (2018) Options for a green equity investment approach to ensure financial stability, November 2018.</w:t>
      </w:r>
    </w:p>
  </w:footnote>
  <w:footnote w:id="10">
    <w:p w14:paraId="75BC35FF" w14:textId="4D33C89F" w:rsidR="001E1BDF" w:rsidRPr="00D370ED" w:rsidRDefault="001E1BDF">
      <w:pPr>
        <w:pStyle w:val="FootnoteText"/>
        <w:rPr>
          <w:sz w:val="16"/>
          <w:szCs w:val="16"/>
        </w:rPr>
      </w:pPr>
      <w:r w:rsidRPr="00D370ED">
        <w:rPr>
          <w:rStyle w:val="FootnoteReference"/>
          <w:sz w:val="16"/>
          <w:szCs w:val="16"/>
        </w:rPr>
        <w:footnoteRef/>
      </w:r>
      <w:r w:rsidRPr="00D370ED">
        <w:rPr>
          <w:sz w:val="16"/>
          <w:szCs w:val="16"/>
        </w:rPr>
        <w:t xml:space="preserve"> Le </w:t>
      </w:r>
      <w:r w:rsidRPr="00D370ED">
        <w:rPr>
          <w:sz w:val="16"/>
          <w:szCs w:val="16"/>
        </w:rPr>
        <w:t xml:space="preserve">Houérou, P (2018) A new IFC vision for greening banks in emerging markets, in </w:t>
      </w:r>
      <w:r w:rsidRPr="00D370ED">
        <w:rPr>
          <w:i/>
          <w:sz w:val="16"/>
          <w:szCs w:val="16"/>
        </w:rPr>
        <w:t xml:space="preserve">Devex </w:t>
      </w:r>
      <w:r w:rsidRPr="00D370ED">
        <w:rPr>
          <w:sz w:val="16"/>
          <w:szCs w:val="16"/>
        </w:rPr>
        <w:t xml:space="preserve">8 October 2018.  </w:t>
      </w:r>
    </w:p>
  </w:footnote>
  <w:footnote w:id="11">
    <w:p w14:paraId="72165DA8" w14:textId="6D51C67C" w:rsidR="00DE209F" w:rsidRPr="00C71E3F" w:rsidRDefault="00DE209F">
      <w:pPr>
        <w:pStyle w:val="FootnoteText"/>
        <w:rPr>
          <w:sz w:val="16"/>
          <w:szCs w:val="16"/>
        </w:rPr>
      </w:pPr>
      <w:r w:rsidRPr="00D370ED">
        <w:rPr>
          <w:rStyle w:val="FootnoteReference"/>
          <w:sz w:val="16"/>
          <w:szCs w:val="16"/>
        </w:rPr>
        <w:footnoteRef/>
      </w:r>
      <w:r w:rsidRPr="00D370ED">
        <w:rPr>
          <w:sz w:val="16"/>
          <w:szCs w:val="16"/>
        </w:rPr>
        <w:t xml:space="preserve"> CDC Group (2014) </w:t>
      </w:r>
      <w:hyperlink r:id="rId11" w:history="1">
        <w:r w:rsidRPr="00D370ED">
          <w:rPr>
            <w:rStyle w:val="Hyperlink"/>
            <w:sz w:val="16"/>
            <w:szCs w:val="16"/>
          </w:rPr>
          <w:t>Policy on coal-fired power generation</w:t>
        </w:r>
      </w:hyperlink>
    </w:p>
  </w:footnote>
  <w:footnote w:id="12">
    <w:p w14:paraId="49BB1679" w14:textId="77777777" w:rsidR="00DE209F" w:rsidRPr="006724D3" w:rsidRDefault="00DE209F" w:rsidP="00DE209F">
      <w:pPr>
        <w:pStyle w:val="FootnoteText"/>
        <w:rPr>
          <w:sz w:val="16"/>
          <w:szCs w:val="16"/>
        </w:rPr>
      </w:pPr>
      <w:r w:rsidRPr="00C71E3F">
        <w:rPr>
          <w:rStyle w:val="FootnoteReference"/>
          <w:sz w:val="16"/>
          <w:szCs w:val="16"/>
        </w:rPr>
        <w:footnoteRef/>
      </w:r>
      <w:r w:rsidRPr="00C71E3F">
        <w:rPr>
          <w:sz w:val="16"/>
          <w:szCs w:val="16"/>
        </w:rPr>
        <w:t xml:space="preserve"> CDC Group (2014) </w:t>
      </w:r>
      <w:hyperlink r:id="rId12" w:history="1">
        <w:r w:rsidRPr="00C71E3F">
          <w:rPr>
            <w:rStyle w:val="Hyperlink"/>
            <w:sz w:val="16"/>
            <w:szCs w:val="16"/>
          </w:rPr>
          <w:t>Policy on coal-fired power generation</w:t>
        </w:r>
      </w:hyperlink>
      <w:r w:rsidRPr="00E6610F">
        <w:rPr>
          <w:sz w:val="16"/>
          <w:szCs w:val="16"/>
        </w:rPr>
        <w:t xml:space="preserve"> </w:t>
      </w:r>
    </w:p>
  </w:footnote>
  <w:footnote w:id="13">
    <w:p w14:paraId="295A07A9" w14:textId="77777777" w:rsidR="00DE209F" w:rsidRPr="006724D3" w:rsidRDefault="00DE209F" w:rsidP="00DE209F">
      <w:pPr>
        <w:pStyle w:val="FootnoteText"/>
        <w:rPr>
          <w:sz w:val="16"/>
          <w:szCs w:val="16"/>
        </w:rPr>
      </w:pPr>
      <w:r w:rsidRPr="006724D3">
        <w:rPr>
          <w:rStyle w:val="FootnoteReference"/>
          <w:sz w:val="16"/>
          <w:szCs w:val="16"/>
        </w:rPr>
        <w:footnoteRef/>
      </w:r>
      <w:r w:rsidRPr="006724D3">
        <w:rPr>
          <w:sz w:val="16"/>
          <w:szCs w:val="16"/>
        </w:rPr>
        <w:t xml:space="preserve"> </w:t>
      </w:r>
      <w:r>
        <w:rPr>
          <w:sz w:val="16"/>
          <w:szCs w:val="16"/>
        </w:rPr>
        <w:t>FMO (2016)</w:t>
      </w:r>
      <w:r w:rsidRPr="003A0EBE">
        <w:t xml:space="preserve"> </w:t>
      </w:r>
      <w:hyperlink r:id="rId13" w:history="1">
        <w:r w:rsidRPr="00E136DA">
          <w:rPr>
            <w:rStyle w:val="Hyperlink"/>
            <w:sz w:val="16"/>
            <w:szCs w:val="16"/>
          </w:rPr>
          <w:t>Position Statement on Coal Power Generation and Coal Mining</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3E9"/>
    <w:multiLevelType w:val="hybridMultilevel"/>
    <w:tmpl w:val="5A106C84"/>
    <w:lvl w:ilvl="0" w:tplc="D166EE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A93E"/>
    <w:multiLevelType w:val="hybridMultilevel"/>
    <w:tmpl w:val="410531FC"/>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B771E4"/>
    <w:multiLevelType w:val="hybridMultilevel"/>
    <w:tmpl w:val="6380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167DE"/>
    <w:multiLevelType w:val="hybridMultilevel"/>
    <w:tmpl w:val="C35AF776"/>
    <w:lvl w:ilvl="0" w:tplc="4B66F3A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81A43"/>
    <w:multiLevelType w:val="hybridMultilevel"/>
    <w:tmpl w:val="40069988"/>
    <w:lvl w:ilvl="0" w:tplc="D166EE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33E6D"/>
    <w:multiLevelType w:val="hybridMultilevel"/>
    <w:tmpl w:val="2F8C87C8"/>
    <w:lvl w:ilvl="0" w:tplc="D166EE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01D05"/>
    <w:multiLevelType w:val="hybridMultilevel"/>
    <w:tmpl w:val="FE2203CC"/>
    <w:styleLink w:val="Bullet"/>
    <w:lvl w:ilvl="0" w:tplc="2C227A3A">
      <w:start w:val="1"/>
      <w:numFmt w:val="bullet"/>
      <w:lvlText w:val="•"/>
      <w:lvlJc w:val="left"/>
      <w:pPr>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D50DC1A">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E00B118">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5B8719C">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C2D6F6">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A4019FA">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B14D43A">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F246EC">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0BA450C">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7C70A06"/>
    <w:multiLevelType w:val="hybridMultilevel"/>
    <w:tmpl w:val="FE2203CC"/>
    <w:numStyleLink w:val="Bullet"/>
  </w:abstractNum>
  <w:abstractNum w:abstractNumId="8" w15:restartNumberingAfterBreak="0">
    <w:nsid w:val="7C2F6F5F"/>
    <w:multiLevelType w:val="hybridMultilevel"/>
    <w:tmpl w:val="D5801004"/>
    <w:lvl w:ilvl="0" w:tplc="D166EE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16D73"/>
    <w:multiLevelType w:val="multilevel"/>
    <w:tmpl w:val="55DAEA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5"/>
  </w:num>
  <w:num w:numId="3">
    <w:abstractNumId w:val="2"/>
  </w:num>
  <w:num w:numId="4">
    <w:abstractNumId w:val="9"/>
  </w:num>
  <w:num w:numId="5">
    <w:abstractNumId w:val="6"/>
  </w:num>
  <w:num w:numId="6">
    <w:abstractNumId w:val="7"/>
    <w:lvlOverride w:ilvl="0">
      <w:lvl w:ilvl="0" w:tplc="9C6667C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50AAFC">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F07E18">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007240">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A69E10">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C80CD6">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B0036C">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B42E1C">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96AE56">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7"/>
    <w:lvlOverride w:ilvl="0">
      <w:lvl w:ilvl="0" w:tplc="9C6667C6">
        <w:start w:val="1"/>
        <w:numFmt w:val="bullet"/>
        <w:lvlText w:val="•"/>
        <w:lvlJc w:val="left"/>
        <w:pPr>
          <w:ind w:left="889"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50AAFC">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F07E18">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007240">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A69E10">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C80CD6">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B0036C">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B42E1C">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96AE56">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C2"/>
    <w:rsid w:val="00010640"/>
    <w:rsid w:val="000877B6"/>
    <w:rsid w:val="00090858"/>
    <w:rsid w:val="000D5EF6"/>
    <w:rsid w:val="000D72C2"/>
    <w:rsid w:val="000F2B56"/>
    <w:rsid w:val="00102A8A"/>
    <w:rsid w:val="00135F8C"/>
    <w:rsid w:val="00151184"/>
    <w:rsid w:val="001645F8"/>
    <w:rsid w:val="0017060C"/>
    <w:rsid w:val="001B19C2"/>
    <w:rsid w:val="001C25C3"/>
    <w:rsid w:val="001C74BB"/>
    <w:rsid w:val="001E1BDF"/>
    <w:rsid w:val="002318DC"/>
    <w:rsid w:val="002372EC"/>
    <w:rsid w:val="002D2F25"/>
    <w:rsid w:val="00306E73"/>
    <w:rsid w:val="003164D8"/>
    <w:rsid w:val="003250AF"/>
    <w:rsid w:val="003271B6"/>
    <w:rsid w:val="00380E96"/>
    <w:rsid w:val="003A3706"/>
    <w:rsid w:val="003C3C7B"/>
    <w:rsid w:val="003C4A46"/>
    <w:rsid w:val="003D6054"/>
    <w:rsid w:val="00457475"/>
    <w:rsid w:val="00490534"/>
    <w:rsid w:val="004A25B4"/>
    <w:rsid w:val="004C7134"/>
    <w:rsid w:val="00572599"/>
    <w:rsid w:val="005A5C86"/>
    <w:rsid w:val="005C6F46"/>
    <w:rsid w:val="00610AE8"/>
    <w:rsid w:val="006411B0"/>
    <w:rsid w:val="006506E1"/>
    <w:rsid w:val="00660FA3"/>
    <w:rsid w:val="00662971"/>
    <w:rsid w:val="00675E16"/>
    <w:rsid w:val="00676A8E"/>
    <w:rsid w:val="006B2C60"/>
    <w:rsid w:val="006E3B1B"/>
    <w:rsid w:val="00711B74"/>
    <w:rsid w:val="00746308"/>
    <w:rsid w:val="00751DF3"/>
    <w:rsid w:val="00783B2D"/>
    <w:rsid w:val="00785C68"/>
    <w:rsid w:val="007A4A89"/>
    <w:rsid w:val="007C15B9"/>
    <w:rsid w:val="007C4FAA"/>
    <w:rsid w:val="007D6B32"/>
    <w:rsid w:val="007F2A34"/>
    <w:rsid w:val="008430AD"/>
    <w:rsid w:val="00881AF6"/>
    <w:rsid w:val="008A5C72"/>
    <w:rsid w:val="008E4206"/>
    <w:rsid w:val="009024CE"/>
    <w:rsid w:val="00904B5D"/>
    <w:rsid w:val="00923B14"/>
    <w:rsid w:val="00927F5F"/>
    <w:rsid w:val="00980381"/>
    <w:rsid w:val="00981850"/>
    <w:rsid w:val="00983894"/>
    <w:rsid w:val="009B6404"/>
    <w:rsid w:val="009C26A5"/>
    <w:rsid w:val="009D4230"/>
    <w:rsid w:val="009D5508"/>
    <w:rsid w:val="009E4768"/>
    <w:rsid w:val="00A32A38"/>
    <w:rsid w:val="00A4755F"/>
    <w:rsid w:val="00AA13A5"/>
    <w:rsid w:val="00AC2747"/>
    <w:rsid w:val="00B05077"/>
    <w:rsid w:val="00B05BC1"/>
    <w:rsid w:val="00B10FB6"/>
    <w:rsid w:val="00B1170C"/>
    <w:rsid w:val="00B140F8"/>
    <w:rsid w:val="00B2555F"/>
    <w:rsid w:val="00B343F9"/>
    <w:rsid w:val="00B47024"/>
    <w:rsid w:val="00B56794"/>
    <w:rsid w:val="00BC2D11"/>
    <w:rsid w:val="00BC66D3"/>
    <w:rsid w:val="00BD0EDD"/>
    <w:rsid w:val="00C0441E"/>
    <w:rsid w:val="00C6365A"/>
    <w:rsid w:val="00C6471F"/>
    <w:rsid w:val="00C667F4"/>
    <w:rsid w:val="00C71E3F"/>
    <w:rsid w:val="00C74765"/>
    <w:rsid w:val="00CA782B"/>
    <w:rsid w:val="00CC035D"/>
    <w:rsid w:val="00D245FE"/>
    <w:rsid w:val="00D31F9C"/>
    <w:rsid w:val="00D370ED"/>
    <w:rsid w:val="00D4350C"/>
    <w:rsid w:val="00D55824"/>
    <w:rsid w:val="00D56E26"/>
    <w:rsid w:val="00D6004A"/>
    <w:rsid w:val="00D63861"/>
    <w:rsid w:val="00D94E2E"/>
    <w:rsid w:val="00D950D0"/>
    <w:rsid w:val="00DB2B7A"/>
    <w:rsid w:val="00DE209F"/>
    <w:rsid w:val="00DE2DB8"/>
    <w:rsid w:val="00DE642E"/>
    <w:rsid w:val="00E11D52"/>
    <w:rsid w:val="00E65771"/>
    <w:rsid w:val="00E86A64"/>
    <w:rsid w:val="00E93DCB"/>
    <w:rsid w:val="00E97EC0"/>
    <w:rsid w:val="00EA2289"/>
    <w:rsid w:val="00F0578A"/>
    <w:rsid w:val="00F239D6"/>
    <w:rsid w:val="00F25992"/>
    <w:rsid w:val="00F709F4"/>
    <w:rsid w:val="00FB11C2"/>
    <w:rsid w:val="00FE5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7DC952"/>
  <w15:chartTrackingRefBased/>
  <w15:docId w15:val="{8069EADC-7EBB-2045-8AAB-D02CE27A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2C2"/>
    <w:rPr>
      <w:rFonts w:eastAsiaTheme="minorHAnsi"/>
      <w:sz w:val="18"/>
      <w:szCs w:val="18"/>
    </w:rPr>
  </w:style>
  <w:style w:type="character" w:customStyle="1" w:styleId="BalloonTextChar">
    <w:name w:val="Balloon Text Char"/>
    <w:basedOn w:val="DefaultParagraphFont"/>
    <w:link w:val="BalloonText"/>
    <w:uiPriority w:val="99"/>
    <w:semiHidden/>
    <w:rsid w:val="000D72C2"/>
    <w:rPr>
      <w:rFonts w:ascii="Times New Roman" w:hAnsi="Times New Roman" w:cs="Times New Roman"/>
      <w:sz w:val="18"/>
      <w:szCs w:val="18"/>
    </w:rPr>
  </w:style>
  <w:style w:type="paragraph" w:styleId="NormalWeb">
    <w:name w:val="Normal (Web)"/>
    <w:basedOn w:val="Normal"/>
    <w:uiPriority w:val="99"/>
    <w:unhideWhenUsed/>
    <w:rsid w:val="00C0441E"/>
    <w:pPr>
      <w:spacing w:before="100" w:beforeAutospacing="1" w:after="100" w:afterAutospacing="1"/>
    </w:pPr>
  </w:style>
  <w:style w:type="character" w:styleId="Hyperlink">
    <w:name w:val="Hyperlink"/>
    <w:basedOn w:val="DefaultParagraphFont"/>
    <w:uiPriority w:val="99"/>
    <w:unhideWhenUsed/>
    <w:rsid w:val="00C0441E"/>
    <w:rPr>
      <w:color w:val="0000FF"/>
      <w:u w:val="single"/>
    </w:rPr>
  </w:style>
  <w:style w:type="paragraph" w:styleId="FootnoteText">
    <w:name w:val="footnote text"/>
    <w:aliases w:val="references"/>
    <w:basedOn w:val="Normal"/>
    <w:link w:val="FootnoteTextChar"/>
    <w:uiPriority w:val="99"/>
    <w:semiHidden/>
    <w:unhideWhenUsed/>
    <w:rsid w:val="001C25C3"/>
    <w:rPr>
      <w:rFonts w:asciiTheme="minorHAnsi" w:eastAsiaTheme="minorHAnsi" w:hAnsiTheme="minorHAnsi" w:cstheme="minorBidi"/>
      <w:sz w:val="20"/>
      <w:szCs w:val="20"/>
    </w:rPr>
  </w:style>
  <w:style w:type="character" w:customStyle="1" w:styleId="FootnoteTextChar">
    <w:name w:val="Footnote Text Char"/>
    <w:aliases w:val="references Char"/>
    <w:basedOn w:val="DefaultParagraphFont"/>
    <w:link w:val="FootnoteText"/>
    <w:uiPriority w:val="99"/>
    <w:semiHidden/>
    <w:rsid w:val="001C25C3"/>
    <w:rPr>
      <w:sz w:val="20"/>
      <w:szCs w:val="20"/>
    </w:rPr>
  </w:style>
  <w:style w:type="character" w:styleId="FootnoteReference">
    <w:name w:val="footnote reference"/>
    <w:basedOn w:val="DefaultParagraphFont"/>
    <w:uiPriority w:val="99"/>
    <w:semiHidden/>
    <w:unhideWhenUsed/>
    <w:rsid w:val="001C25C3"/>
    <w:rPr>
      <w:vertAlign w:val="superscript"/>
    </w:rPr>
  </w:style>
  <w:style w:type="character" w:styleId="UnresolvedMention">
    <w:name w:val="Unresolved Mention"/>
    <w:basedOn w:val="DefaultParagraphFont"/>
    <w:uiPriority w:val="99"/>
    <w:semiHidden/>
    <w:unhideWhenUsed/>
    <w:rsid w:val="001C25C3"/>
    <w:rPr>
      <w:color w:val="605E5C"/>
      <w:shd w:val="clear" w:color="auto" w:fill="E1DFDD"/>
    </w:rPr>
  </w:style>
  <w:style w:type="paragraph" w:customStyle="1" w:styleId="Default">
    <w:name w:val="Default"/>
    <w:rsid w:val="00010640"/>
    <w:pPr>
      <w:autoSpaceDE w:val="0"/>
      <w:autoSpaceDN w:val="0"/>
      <w:adjustRightInd w:val="0"/>
    </w:pPr>
    <w:rPr>
      <w:rFonts w:ascii="Cambria" w:hAnsi="Cambria" w:cs="Cambria"/>
      <w:color w:val="000000"/>
      <w:lang w:val="en-US"/>
    </w:rPr>
  </w:style>
  <w:style w:type="paragraph" w:styleId="ListParagraph">
    <w:name w:val="List Paragraph"/>
    <w:basedOn w:val="Normal"/>
    <w:uiPriority w:val="34"/>
    <w:qFormat/>
    <w:rsid w:val="009D5508"/>
    <w:pPr>
      <w:ind w:left="720"/>
      <w:contextualSpacing/>
    </w:pPr>
  </w:style>
  <w:style w:type="paragraph" w:customStyle="1" w:styleId="BodyA">
    <w:name w:val="Body A"/>
    <w:rsid w:val="00D4350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Bullet">
    <w:name w:val="Bullet"/>
    <w:rsid w:val="00D4350C"/>
    <w:pPr>
      <w:numPr>
        <w:numId w:val="5"/>
      </w:numPr>
    </w:pPr>
  </w:style>
  <w:style w:type="character" w:customStyle="1" w:styleId="None">
    <w:name w:val="None"/>
    <w:rsid w:val="00D4350C"/>
  </w:style>
  <w:style w:type="character" w:customStyle="1" w:styleId="Hyperlink0">
    <w:name w:val="Hyperlink.0"/>
    <w:basedOn w:val="None"/>
    <w:rsid w:val="00D4350C"/>
    <w:rPr>
      <w:u w:val="single" w:color="000000"/>
    </w:rPr>
  </w:style>
  <w:style w:type="character" w:customStyle="1" w:styleId="Hyperlink1">
    <w:name w:val="Hyperlink.1"/>
    <w:basedOn w:val="DefaultParagraphFont"/>
    <w:rsid w:val="00E11D52"/>
    <w:rPr>
      <w:color w:val="000000"/>
      <w:u w:val="single" w:color="000000"/>
    </w:rPr>
  </w:style>
  <w:style w:type="character" w:styleId="CommentReference">
    <w:name w:val="annotation reference"/>
    <w:basedOn w:val="DefaultParagraphFont"/>
    <w:uiPriority w:val="99"/>
    <w:semiHidden/>
    <w:unhideWhenUsed/>
    <w:rsid w:val="00DE642E"/>
    <w:rPr>
      <w:sz w:val="16"/>
      <w:szCs w:val="16"/>
    </w:rPr>
  </w:style>
  <w:style w:type="paragraph" w:styleId="CommentText">
    <w:name w:val="annotation text"/>
    <w:basedOn w:val="Normal"/>
    <w:link w:val="CommentTextChar"/>
    <w:uiPriority w:val="99"/>
    <w:semiHidden/>
    <w:unhideWhenUsed/>
    <w:rsid w:val="00DE642E"/>
    <w:rPr>
      <w:sz w:val="20"/>
      <w:szCs w:val="20"/>
    </w:rPr>
  </w:style>
  <w:style w:type="character" w:customStyle="1" w:styleId="CommentTextChar">
    <w:name w:val="Comment Text Char"/>
    <w:basedOn w:val="DefaultParagraphFont"/>
    <w:link w:val="CommentText"/>
    <w:uiPriority w:val="99"/>
    <w:semiHidden/>
    <w:rsid w:val="00DE64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642E"/>
    <w:rPr>
      <w:b/>
      <w:bCs/>
    </w:rPr>
  </w:style>
  <w:style w:type="character" w:customStyle="1" w:styleId="CommentSubjectChar">
    <w:name w:val="Comment Subject Char"/>
    <w:basedOn w:val="CommentTextChar"/>
    <w:link w:val="CommentSubject"/>
    <w:uiPriority w:val="99"/>
    <w:semiHidden/>
    <w:rsid w:val="00DE642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94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066595">
      <w:bodyDiv w:val="1"/>
      <w:marLeft w:val="0"/>
      <w:marRight w:val="0"/>
      <w:marTop w:val="0"/>
      <w:marBottom w:val="0"/>
      <w:divBdr>
        <w:top w:val="none" w:sz="0" w:space="0" w:color="auto"/>
        <w:left w:val="none" w:sz="0" w:space="0" w:color="auto"/>
        <w:bottom w:val="none" w:sz="0" w:space="0" w:color="auto"/>
        <w:right w:val="none" w:sz="0" w:space="0" w:color="auto"/>
      </w:divBdr>
    </w:div>
    <w:div w:id="907181988">
      <w:bodyDiv w:val="1"/>
      <w:marLeft w:val="0"/>
      <w:marRight w:val="0"/>
      <w:marTop w:val="0"/>
      <w:marBottom w:val="0"/>
      <w:divBdr>
        <w:top w:val="none" w:sz="0" w:space="0" w:color="auto"/>
        <w:left w:val="none" w:sz="0" w:space="0" w:color="auto"/>
        <w:bottom w:val="none" w:sz="0" w:space="0" w:color="auto"/>
        <w:right w:val="none" w:sz="0" w:space="0" w:color="auto"/>
      </w:divBdr>
    </w:div>
    <w:div w:id="1440830001">
      <w:bodyDiv w:val="1"/>
      <w:marLeft w:val="0"/>
      <w:marRight w:val="0"/>
      <w:marTop w:val="0"/>
      <w:marBottom w:val="0"/>
      <w:divBdr>
        <w:top w:val="none" w:sz="0" w:space="0" w:color="auto"/>
        <w:left w:val="none" w:sz="0" w:space="0" w:color="auto"/>
        <w:bottom w:val="none" w:sz="0" w:space="0" w:color="auto"/>
        <w:right w:val="none" w:sz="0" w:space="0" w:color="auto"/>
      </w:divBdr>
    </w:div>
    <w:div w:id="1555384618">
      <w:bodyDiv w:val="1"/>
      <w:marLeft w:val="0"/>
      <w:marRight w:val="0"/>
      <w:marTop w:val="0"/>
      <w:marBottom w:val="0"/>
      <w:divBdr>
        <w:top w:val="none" w:sz="0" w:space="0" w:color="auto"/>
        <w:left w:val="none" w:sz="0" w:space="0" w:color="auto"/>
        <w:bottom w:val="none" w:sz="0" w:space="0" w:color="auto"/>
        <w:right w:val="none" w:sz="0" w:space="0" w:color="auto"/>
      </w:divBdr>
    </w:div>
    <w:div w:id="1688404036">
      <w:bodyDiv w:val="1"/>
      <w:marLeft w:val="0"/>
      <w:marRight w:val="0"/>
      <w:marTop w:val="0"/>
      <w:marBottom w:val="0"/>
      <w:divBdr>
        <w:top w:val="none" w:sz="0" w:space="0" w:color="auto"/>
        <w:left w:val="none" w:sz="0" w:space="0" w:color="auto"/>
        <w:bottom w:val="none" w:sz="0" w:space="0" w:color="auto"/>
        <w:right w:val="none" w:sz="0" w:space="0" w:color="auto"/>
      </w:divBdr>
    </w:div>
    <w:div w:id="20179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fc.org/wps/wcm/connect/38d1a68049ddf966af3cbfda80c2ddf3/FI+Interpretation+Note+November+2018.pdf?MOD=AJPE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mateanalytics.org/files/climateanalytics-coalreport_nov2016_1.pdf" TargetMode="External"/><Relationship Id="rId5" Type="http://schemas.openxmlformats.org/officeDocument/2006/relationships/webSettings" Target="webSettings.xml"/><Relationship Id="rId10" Type="http://schemas.openxmlformats.org/officeDocument/2006/relationships/hyperlink" Target="https://bic-europe.org/wp-content/uploads/2018/11/AIIB-and-fossil-fuels-Nov-2018-FINAL.pdf" TargetMode="External"/><Relationship Id="rId4" Type="http://schemas.openxmlformats.org/officeDocument/2006/relationships/settings" Target="settings.xml"/><Relationship Id="rId9" Type="http://schemas.openxmlformats.org/officeDocument/2006/relationships/hyperlink" Target="https://bic-europe.org/wp-content/uploads/2018/11/Financing-development-in-Myanmar-FINAL.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edium.com/@IFC_org/sustainable-practices-for-private-equity-funds-business-5d841850f7c5" TargetMode="External"/><Relationship Id="rId13" Type="http://schemas.openxmlformats.org/officeDocument/2006/relationships/hyperlink" Target="https://www.fmo.nl/l/library/download/urn:uuid:bc67f804-1588-4542-8ac8-5f168b5f417f/position+statement+on+coal.pdf?format=save_to_disk&amp;ext=.pdf" TargetMode="External"/><Relationship Id="rId3" Type="http://schemas.openxmlformats.org/officeDocument/2006/relationships/hyperlink" Target="http://www.cao-ombudsman.org/cases/case_detail.aspx?id=165" TargetMode="External"/><Relationship Id="rId7" Type="http://schemas.openxmlformats.org/officeDocument/2006/relationships/hyperlink" Target="https://www.ifc.org/wps/wcm/connect/1c3013804a260251bf70bfe54d141794/IFC_FI_FactSheet_April2015.pdf?MOD=AJPERES" TargetMode="External"/><Relationship Id="rId12" Type="http://schemas.openxmlformats.org/officeDocument/2006/relationships/hyperlink" Target="https://assets.cdcgroup.com/wp-content/uploads/2018/09/08155012/Policy_on_Coal-Fired_Power_Generation__January_2014_.pdf" TargetMode="External"/><Relationship Id="rId2" Type="http://schemas.openxmlformats.org/officeDocument/2006/relationships/hyperlink" Target="http://www.cao-ombudsman.org/cases/case_detail.aspx?id=180" TargetMode="External"/><Relationship Id="rId1" Type="http://schemas.openxmlformats.org/officeDocument/2006/relationships/hyperlink" Target="https://oxfamilibrary.openrepository.com/bitstream/handle/10546/620559/bp-financial-institutions-disclosure-161018-en.pdf" TargetMode="External"/><Relationship Id="rId6" Type="http://schemas.openxmlformats.org/officeDocument/2006/relationships/hyperlink" Target="http://www.cao-ombudsman.org/cases/case_detail.aspx?id=212" TargetMode="External"/><Relationship Id="rId11" Type="http://schemas.openxmlformats.org/officeDocument/2006/relationships/hyperlink" Target="https://assets.cdcgroup.com/wp-content/uploads/2018/09/08155012/Policy_on_Coal-Fired_Power_Generation__January_2014_.pdf" TargetMode="External"/><Relationship Id="rId5" Type="http://schemas.openxmlformats.org/officeDocument/2006/relationships/hyperlink" Target="http://www.cao-ombudsman.org/cases/case_detail.aspx?id=209" TargetMode="External"/><Relationship Id="rId10" Type="http://schemas.openxmlformats.org/officeDocument/2006/relationships/hyperlink" Target="https://climateanalytics.org/briefings/coal-phase-out/" TargetMode="External"/><Relationship Id="rId4" Type="http://schemas.openxmlformats.org/officeDocument/2006/relationships/hyperlink" Target="http://www.cao-ombudsman.org/cases/case_detail.aspx?id=1266" TargetMode="External"/><Relationship Id="rId9" Type="http://schemas.openxmlformats.org/officeDocument/2006/relationships/hyperlink" Target="https://www.devex.com/news/opinion-a-new-ifc-vision-for-greening-banks-in-emerging-markets-93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C5CF5-1AFA-E64E-8FC6-36C78083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Geary</dc:creator>
  <cp:keywords/>
  <dc:description/>
  <cp:lastModifiedBy>Kate Geary</cp:lastModifiedBy>
  <cp:revision>2</cp:revision>
  <dcterms:created xsi:type="dcterms:W3CDTF">2019-07-04T14:50:00Z</dcterms:created>
  <dcterms:modified xsi:type="dcterms:W3CDTF">2019-07-04T14:50:00Z</dcterms:modified>
</cp:coreProperties>
</file>